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gjdgxs" w:id="0"/>
      <w:bookmarkEnd w:id="0"/>
      <w:r w:rsidDel="00000000" w:rsidR="00000000" w:rsidRPr="00000000">
        <w:rPr>
          <w:rtl w:val="0"/>
        </w:rPr>
        <w:t xml:space="preserve">Should drugs like Cannabis be legalised?</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Should drugs like cannabis be legalized? This question must be broken down and categorized specifically because there are numerous types of drugs and aspects of legalization which has to be considered before the question can be answered.  In the article by David Nutt and colleagues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they present numerous perspectives about the issue, including perspectives which consider the different drugs and the different countries involved.  From these perspectives, it can be noted that the situation for each country and each drug is different.  There is however a general agreement to the claim that in the proper amount, cannabis can have therapeutic effects to the body; however, other types of drugs at higher and more frequent intake can be damaging to the body and the public health</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This is the risk which must be considered by all individuals, especially policy-makers before any decisions on drugs like cannabis can be made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right way forward for policy making in relation to cannabis and related drugs should be a policy based on the qualities of the country, the users, the drugs available in the country, and the extent of the drug trade in the country</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The right policy must not prevent the use of drugs like cannabis where therapeutic benefits can be gained</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However, it should also be a policy which is prohibitive towards dangers drugs like crystal methamphetamine which are very much damaging to the user and to society.  The policy must also be based on the present narcotics situation in the country and must be a policy which can match the current developments in technology as well as the drug trade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The Portugal policy for instance may not work as well for a country like the Philippines where the primary drug of choice is crystal methamphetamine or ‘shabu’ and beating this drug habit has been considered difficult as it primarily attacks and destroys the central nervous system</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These are the nuances for each country which have to be considered before any effective policy on drugs can be planned or implemented.  Policies should consider such nuances in order to secure effective policies or mandates against drugs.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2"/>
        <w:spacing w:after="0" w:line="240" w:lineRule="auto"/>
        <w:jc w:val="center"/>
        <w:rPr/>
      </w:pPr>
      <w:bookmarkStart w:colFirst="0" w:colLast="0" w:name="_heading=h.ntrh5ultrtq2" w:id="1"/>
      <w:bookmarkEnd w:id="1"/>
      <w:r w:rsidDel="00000000" w:rsidR="00000000" w:rsidRPr="00000000">
        <w:rPr>
          <w:rtl w:val="0"/>
        </w:rPr>
        <w:t xml:space="preserve">Bibliography</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DM and Rees D, The Legalization of Recreational Marijuana: How Likely Is the Worst</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Times New Roman" w:cs="Times New Roman" w:eastAsia="Times New Roman" w:hAnsi="Times New Roman"/>
          <w:sz w:val="24"/>
          <w:szCs w:val="24"/>
          <w:rtl w:val="0"/>
        </w:rPr>
        <w:t xml:space="preserve">Case Scenario?, (2014) 33 </w:t>
      </w:r>
      <w:r w:rsidDel="00000000" w:rsidR="00000000" w:rsidRPr="00000000">
        <w:rPr>
          <w:rFonts w:ascii="Times New Roman" w:cs="Times New Roman" w:eastAsia="Times New Roman" w:hAnsi="Times New Roman"/>
          <w:i w:val="1"/>
          <w:sz w:val="24"/>
          <w:szCs w:val="24"/>
          <w:rtl w:val="0"/>
        </w:rPr>
        <w:t xml:space="preserve">Journal of Policy Analysis and Management</w:t>
      </w:r>
      <w:r w:rsidDel="00000000" w:rsidR="00000000" w:rsidRPr="00000000">
        <w:rPr>
          <w:rFonts w:ascii="Times New Roman" w:cs="Times New Roman" w:eastAsia="Times New Roman" w:hAnsi="Times New Roman"/>
          <w:sz w:val="24"/>
          <w:szCs w:val="24"/>
          <w:rtl w:val="0"/>
        </w:rPr>
        <w:t xml:space="preserve"> 1, 221</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Campbell W, Twenge J and Carter N, Support for Marijuana (Cannabis) Legalization: Untangling Age, Period, and Cohort Effects, (2017) 3 </w:t>
      </w:r>
      <w:r w:rsidDel="00000000" w:rsidR="00000000" w:rsidRPr="00000000">
        <w:rPr>
          <w:rFonts w:ascii="Times New Roman" w:cs="Times New Roman" w:eastAsia="Times New Roman" w:hAnsi="Times New Roman"/>
          <w:i w:val="1"/>
          <w:sz w:val="24"/>
          <w:szCs w:val="24"/>
          <w:rtl w:val="0"/>
        </w:rPr>
        <w:t xml:space="preserve">Collabra: Psychology</w:t>
      </w:r>
      <w:r w:rsidDel="00000000" w:rsidR="00000000" w:rsidRPr="00000000">
        <w:rPr>
          <w:rFonts w:ascii="Times New Roman" w:cs="Times New Roman" w:eastAsia="Times New Roman" w:hAnsi="Times New Roman"/>
          <w:sz w:val="24"/>
          <w:szCs w:val="24"/>
          <w:rtl w:val="0"/>
        </w:rPr>
        <w:t xml:space="preserve"> 1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Covey D, Wenzel J and Cheer J, Cannabinoid modulation of drug reward and the implications of marijuana legalization, (2015) 1628 </w:t>
      </w:r>
      <w:r w:rsidDel="00000000" w:rsidR="00000000" w:rsidRPr="00000000">
        <w:rPr>
          <w:rFonts w:ascii="Times New Roman" w:cs="Times New Roman" w:eastAsia="Times New Roman" w:hAnsi="Times New Roman"/>
          <w:i w:val="1"/>
          <w:sz w:val="24"/>
          <w:szCs w:val="24"/>
          <w:rtl w:val="0"/>
        </w:rPr>
        <w:t xml:space="preserve">Brain research,</w:t>
      </w:r>
      <w:r w:rsidDel="00000000" w:rsidR="00000000" w:rsidRPr="00000000">
        <w:rPr>
          <w:rFonts w:ascii="Times New Roman" w:cs="Times New Roman" w:eastAsia="Times New Roman" w:hAnsi="Times New Roman"/>
          <w:sz w:val="24"/>
          <w:szCs w:val="24"/>
          <w:rtl w:val="0"/>
        </w:rPr>
        <w:t xml:space="preserve"> 233</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Gancarz G The Efficacy of Extreme Spectrum Drug Policies and their Applications to Modern Nations, (2017) Parkland College, 3.</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Hall W and Weier M Assessing the public health impacts of legalizing recreational cannabis use in the USA, (2015) 97 </w:t>
      </w:r>
      <w:r w:rsidDel="00000000" w:rsidR="00000000" w:rsidRPr="00000000">
        <w:rPr>
          <w:rFonts w:ascii="Times New Roman" w:cs="Times New Roman" w:eastAsia="Times New Roman" w:hAnsi="Times New Roman"/>
          <w:i w:val="1"/>
          <w:sz w:val="24"/>
          <w:szCs w:val="24"/>
          <w:rtl w:val="0"/>
        </w:rPr>
        <w:t xml:space="preserve">Clinical pharmacology &amp; therapeutics</w:t>
      </w:r>
      <w:r w:rsidDel="00000000" w:rsidR="00000000" w:rsidRPr="00000000">
        <w:rPr>
          <w:rFonts w:ascii="Times New Roman" w:cs="Times New Roman" w:eastAsia="Times New Roman" w:hAnsi="Times New Roman"/>
          <w:sz w:val="24"/>
          <w:szCs w:val="24"/>
          <w:rtl w:val="0"/>
        </w:rPr>
        <w:t xml:space="preserve"> 6, 607</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Jürgen R and Fischer B, Cannabis legalization with strict regulation, the overall superior policy option for public health, (2015) 97 </w:t>
      </w:r>
      <w:r w:rsidDel="00000000" w:rsidR="00000000" w:rsidRPr="00000000">
        <w:rPr>
          <w:rFonts w:ascii="Times New Roman" w:cs="Times New Roman" w:eastAsia="Times New Roman" w:hAnsi="Times New Roman"/>
          <w:i w:val="1"/>
          <w:sz w:val="24"/>
          <w:szCs w:val="24"/>
          <w:rtl w:val="0"/>
        </w:rPr>
        <w:t xml:space="preserve">Clinical pharmacology &amp; therapeutics</w:t>
      </w:r>
      <w:r w:rsidDel="00000000" w:rsidR="00000000" w:rsidRPr="00000000">
        <w:rPr>
          <w:rFonts w:ascii="Times New Roman" w:cs="Times New Roman" w:eastAsia="Times New Roman" w:hAnsi="Times New Roman"/>
          <w:sz w:val="24"/>
          <w:szCs w:val="24"/>
          <w:rtl w:val="0"/>
        </w:rPr>
        <w:t xml:space="preserve"> 6, 541-544.</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Nutt D. Campbell C. Gyngell K. Andrews K and Cosslett R. Should drugs be </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legalised? Some answers to Prince William’s ‘massive question’.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w:t>
        <w:tab/>
        <w:t xml:space="preserve">(September 20 2017) </w:t>
      </w:r>
      <w:r w:rsidDel="00000000" w:rsidR="00000000" w:rsidRPr="00000000">
        <w:rPr>
          <w:rFonts w:ascii="Times New Roman" w:cs="Times New Roman" w:eastAsia="Times New Roman" w:hAnsi="Times New Roman"/>
          <w:sz w:val="24"/>
          <w:szCs w:val="24"/>
          <w:rtl w:val="0"/>
        </w:rPr>
        <w:t xml:space="preserve">https://www.theguardian.com/politics/2017/sep/20/should-drugs-be-</w:t>
        <w:tab/>
        <w:t xml:space="preserve">legalised-some-answers-to-prince-williams-massive-question &lt;accessed 10 October 2017&gt;</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Pacula R and Smart R Medical Marijuana and Marijuana Legalization, (2017) 13 </w:t>
      </w:r>
      <w:r w:rsidDel="00000000" w:rsidR="00000000" w:rsidRPr="00000000">
        <w:rPr>
          <w:rFonts w:ascii="Times New Roman" w:cs="Times New Roman" w:eastAsia="Times New Roman" w:hAnsi="Times New Roman"/>
          <w:i w:val="1"/>
          <w:sz w:val="24"/>
          <w:szCs w:val="24"/>
          <w:rtl w:val="0"/>
        </w:rPr>
        <w:t xml:space="preserve">Annual Review of Clinical Psychology</w:t>
      </w:r>
      <w:r w:rsidDel="00000000" w:rsidR="00000000" w:rsidRPr="00000000">
        <w:rPr>
          <w:rFonts w:ascii="Times New Roman" w:cs="Times New Roman" w:eastAsia="Times New Roman" w:hAnsi="Times New Roman"/>
          <w:sz w:val="24"/>
          <w:szCs w:val="24"/>
          <w:rtl w:val="0"/>
        </w:rPr>
        <w:t xml:space="preserve">, 398</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R Legalizing a market for cannabis for pleasure: Colorado, Washington, Uruguay and beyond, (2014) 109 </w:t>
      </w:r>
      <w:r w:rsidDel="00000000" w:rsidR="00000000" w:rsidRPr="00000000">
        <w:rPr>
          <w:rFonts w:ascii="Times New Roman" w:cs="Times New Roman" w:eastAsia="Times New Roman" w:hAnsi="Times New Roman"/>
          <w:i w:val="1"/>
          <w:sz w:val="24"/>
          <w:szCs w:val="24"/>
          <w:rtl w:val="0"/>
        </w:rPr>
        <w:t xml:space="preserve">Addiction</w:t>
      </w:r>
      <w:r w:rsidDel="00000000" w:rsidR="00000000" w:rsidRPr="00000000">
        <w:rPr>
          <w:rFonts w:ascii="Times New Roman" w:cs="Times New Roman" w:eastAsia="Times New Roman" w:hAnsi="Times New Roman"/>
          <w:sz w:val="24"/>
          <w:szCs w:val="24"/>
          <w:rtl w:val="0"/>
        </w:rPr>
        <w:t xml:space="preserve"> 3, 345</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J, Ramo D Lisha N and Cataldo J, Medical marijuana legalization and cigarette and marijuana co-use in adolescents and adults, (2016) 166 </w:t>
      </w:r>
      <w:r w:rsidDel="00000000" w:rsidR="00000000" w:rsidRPr="00000000">
        <w:rPr>
          <w:rFonts w:ascii="Times New Roman" w:cs="Times New Roman" w:eastAsia="Times New Roman" w:hAnsi="Times New Roman"/>
          <w:i w:val="1"/>
          <w:sz w:val="24"/>
          <w:szCs w:val="24"/>
          <w:rtl w:val="0"/>
        </w:rPr>
        <w:t xml:space="preserve">Drug and alcohol dependence</w:t>
      </w:r>
      <w:r w:rsidDel="00000000" w:rsidR="00000000" w:rsidRPr="00000000">
        <w:rPr>
          <w:rFonts w:ascii="Times New Roman" w:cs="Times New Roman" w:eastAsia="Times New Roman" w:hAnsi="Times New Roman"/>
          <w:sz w:val="24"/>
          <w:szCs w:val="24"/>
          <w:rtl w:val="0"/>
        </w:rPr>
        <w:t xml:space="preserve">, 35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David Nutt, Alastair Campbell, Kathy Gyngell, Kehinde Andrews and Rhiannon Lucy Cosslett. Should drugs be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legalised? Some answers to Prince William’s ‘massive question’.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Guardian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 xml:space="preserve">(September 20 2017) </w:t>
      </w:r>
      <w:r w:rsidDel="00000000" w:rsidR="00000000" w:rsidRPr="00000000">
        <w:rPr>
          <w:rFonts w:ascii="Calibri" w:cs="Calibri" w:eastAsia="Calibri" w:hAnsi="Calibri"/>
          <w:b w:val="0"/>
          <w:i w:val="0"/>
          <w:smallCaps w:val="0"/>
          <w:strike w:val="0"/>
          <w:sz w:val="20"/>
          <w:szCs w:val="20"/>
          <w:shd w:fill="auto" w:val="clear"/>
          <w:vertAlign w:val="baseline"/>
          <w:rtl w:val="0"/>
        </w:rPr>
        <w:t xml:space="preserve">https://www.theguardian.com/politics/2017/sep/20/should-drugs-be-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legalised-some-answers-to-prince-williams-massive-question &lt;accessed 10 October 2017&gt;</w:t>
      </w:r>
    </w:p>
  </w:footnote>
  <w:footnote w:id="1">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Robin Room, Legalizing a market for cannabis for pleasure: Colorado, Washington, Uruguay and beyond, (2014) 109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Addiction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 345</w:t>
      </w:r>
    </w:p>
  </w:footnote>
  <w:footnote w:id="2">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William Campbell, Jean Twenge, and Nathan Carter, Support for Marijuana (Cannabis) Legalization: Untangling Age, Period, and Cohort Effects, (2017) 3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Collabra: Psychology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 </w:t>
      </w:r>
    </w:p>
  </w:footnote>
  <w:footnote w:id="3">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Wayne Hall and Megan Weier, Assessing the public health impacts of legalizing recreational cannabis use in the USA, (2015) 97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Clinical pharmacology &amp; therapeutics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6, 607</w:t>
      </w:r>
    </w:p>
  </w:footnote>
  <w:footnote w:id="4">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 Mark Anderson and Daniel I. Rees, The Legalization of Recreational Marijuana: How Likely Is the Worst‐Case Scenario?, (2014) 33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Journal of Policy Analysis and Management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 221</w:t>
      </w:r>
    </w:p>
  </w:footnote>
  <w:footnote w:id="5">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Rosalie Pacula and Rosanna Smart, Medical Marijuana and Marijuana Legalization, (2017) 13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Annual Review of Clinical Psychology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398</w:t>
      </w:r>
    </w:p>
  </w:footnote>
  <w:footnote w:id="6">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Julie Wang, Danielle E. Ramo, Nadra E. Lisha, and Janine K. Cataldo, Medical marijuana legalization and cigarette and marijuana co-use in adolescents and adults, (2016) 166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Drug and alcohol dependence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35</w:t>
      </w:r>
    </w:p>
  </w:footnote>
  <w:footnote w:id="7">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Rehm, Jürgen, and Benedikt Fischer, Cannabis legalization with strict regulation, the overall superior policy option for public health, (2015) 97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Clinical pharmacology &amp; therapeutics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6, 541-544.</w:t>
      </w:r>
    </w:p>
  </w:footnote>
  <w:footnote w:id="8">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Dan Covey, Jennifer M. Wenzel, and Joseph F. Cheer, Cannabinoid modulation of drug reward and the implications of marijuana legalization, (2015) 1628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Brain research,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233</w:t>
      </w:r>
    </w:p>
  </w:footnote>
  <w:footnote w:id="9">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Greg Gancarz, The Efficacy of Extreme Spectrum Drug Policies and their Applications to Modern Nations, (2017) Parkland College, 3.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726B1"/>
    <w:rPr>
      <w:color w:val="0000ff" w:themeColor="hyperlink"/>
      <w:u w:val="single"/>
    </w:rPr>
  </w:style>
  <w:style w:type="character" w:styleId="CommentReference">
    <w:name w:val="annotation reference"/>
    <w:basedOn w:val="DefaultParagraphFont"/>
    <w:uiPriority w:val="99"/>
    <w:semiHidden w:val="1"/>
    <w:unhideWhenUsed w:val="1"/>
    <w:rsid w:val="00FC052E"/>
    <w:rPr>
      <w:sz w:val="16"/>
      <w:szCs w:val="16"/>
    </w:rPr>
  </w:style>
  <w:style w:type="paragraph" w:styleId="CommentText">
    <w:name w:val="annotation text"/>
    <w:basedOn w:val="Normal"/>
    <w:link w:val="CommentTextChar"/>
    <w:uiPriority w:val="99"/>
    <w:semiHidden w:val="1"/>
    <w:unhideWhenUsed w:val="1"/>
    <w:rsid w:val="00FC052E"/>
    <w:pPr>
      <w:spacing w:line="240" w:lineRule="auto"/>
    </w:pPr>
    <w:rPr>
      <w:sz w:val="20"/>
      <w:szCs w:val="20"/>
    </w:rPr>
  </w:style>
  <w:style w:type="character" w:styleId="CommentTextChar" w:customStyle="1">
    <w:name w:val="Comment Text Char"/>
    <w:basedOn w:val="DefaultParagraphFont"/>
    <w:link w:val="CommentText"/>
    <w:uiPriority w:val="99"/>
    <w:semiHidden w:val="1"/>
    <w:rsid w:val="00FC052E"/>
    <w:rPr>
      <w:sz w:val="20"/>
      <w:szCs w:val="20"/>
    </w:rPr>
  </w:style>
  <w:style w:type="paragraph" w:styleId="CommentSubject">
    <w:name w:val="annotation subject"/>
    <w:basedOn w:val="CommentText"/>
    <w:next w:val="CommentText"/>
    <w:link w:val="CommentSubjectChar"/>
    <w:uiPriority w:val="99"/>
    <w:semiHidden w:val="1"/>
    <w:unhideWhenUsed w:val="1"/>
    <w:rsid w:val="00FC052E"/>
    <w:rPr>
      <w:b w:val="1"/>
      <w:bCs w:val="1"/>
    </w:rPr>
  </w:style>
  <w:style w:type="character" w:styleId="CommentSubjectChar" w:customStyle="1">
    <w:name w:val="Comment Subject Char"/>
    <w:basedOn w:val="CommentTextChar"/>
    <w:link w:val="CommentSubject"/>
    <w:uiPriority w:val="99"/>
    <w:semiHidden w:val="1"/>
    <w:rsid w:val="00FC052E"/>
    <w:rPr>
      <w:b w:val="1"/>
      <w:bCs w:val="1"/>
      <w:sz w:val="20"/>
      <w:szCs w:val="20"/>
    </w:rPr>
  </w:style>
  <w:style w:type="paragraph" w:styleId="BalloonText">
    <w:name w:val="Balloon Text"/>
    <w:basedOn w:val="Normal"/>
    <w:link w:val="BalloonTextChar"/>
    <w:uiPriority w:val="99"/>
    <w:semiHidden w:val="1"/>
    <w:unhideWhenUsed w:val="1"/>
    <w:rsid w:val="00FC052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052E"/>
    <w:rPr>
      <w:rFonts w:ascii="Segoe UI" w:cs="Segoe UI" w:hAnsi="Segoe UI"/>
      <w:sz w:val="18"/>
      <w:szCs w:val="18"/>
    </w:rPr>
  </w:style>
  <w:style w:type="paragraph" w:styleId="NormalWeb">
    <w:name w:val="Normal (Web)"/>
    <w:basedOn w:val="Normal"/>
    <w:uiPriority w:val="99"/>
    <w:unhideWhenUsed w:val="1"/>
    <w:rsid w:val="00FC052E"/>
    <w:pPr>
      <w:spacing w:after="100" w:afterAutospacing="1" w:before="100" w:beforeAutospacing="1" w:line="240" w:lineRule="auto"/>
    </w:pPr>
    <w:rPr>
      <w:rFonts w:ascii="Times New Roman" w:cs="Times New Roman" w:eastAsia="Times New Roman" w:hAnsi="Times New Roman"/>
      <w:sz w:val="24"/>
      <w:szCs w:val="24"/>
      <w:lang w:eastAsia="uk-UA" w:val="uk-UA"/>
    </w:rPr>
  </w:style>
  <w:style w:type="paragraph" w:styleId="FootnoteText">
    <w:name w:val="footnote text"/>
    <w:basedOn w:val="Normal"/>
    <w:link w:val="FootnoteTextChar"/>
    <w:uiPriority w:val="99"/>
    <w:semiHidden w:val="1"/>
    <w:unhideWhenUsed w:val="1"/>
    <w:rsid w:val="00F0370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0370A"/>
    <w:rPr>
      <w:sz w:val="20"/>
      <w:szCs w:val="20"/>
    </w:rPr>
  </w:style>
  <w:style w:type="character" w:styleId="FootnoteReference">
    <w:name w:val="footnote reference"/>
    <w:basedOn w:val="DefaultParagraphFont"/>
    <w:uiPriority w:val="99"/>
    <w:semiHidden w:val="1"/>
    <w:unhideWhenUsed w:val="1"/>
    <w:rsid w:val="00F0370A"/>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8U43D1qyTsyZJBGyH3ocUCoeQ==">AMUW2mVRA6nhaj545gg0GEOS6552fmm+ybBQIgNOdf31InJkTRqzHBl/QMC8EgputC128bsL7vPLmDXu+BkTfBCJFrQuX3Q75rmWWo6T2mXw9bOLoo1UOrDhjZhUGuIfq8QrFX/BskLw4bhNEuTwGBPLt0nQ8/8RLQ==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2017-10-09T20:28:00Z</dcterms:created>
  <dc:creator>Diane</dc:creator>
</cp:coreProperties>
</file>