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DD1" w:rsidRPr="00540DD1" w:rsidRDefault="00540DD1" w:rsidP="00052E77">
      <w:pPr>
        <w:spacing w:after="0" w:line="480" w:lineRule="auto"/>
        <w:rPr>
          <w:rFonts w:ascii="Times New Roman" w:hAnsi="Times New Roman" w:cs="Times New Roman"/>
          <w:sz w:val="24"/>
          <w:szCs w:val="24"/>
        </w:rPr>
      </w:pPr>
    </w:p>
    <w:p w:rsidR="00540DD1" w:rsidRPr="00540DD1" w:rsidRDefault="00540DD1" w:rsidP="00540DD1">
      <w:pPr>
        <w:spacing w:after="0" w:line="480" w:lineRule="auto"/>
        <w:jc w:val="center"/>
        <w:rPr>
          <w:rFonts w:ascii="Times New Roman" w:hAnsi="Times New Roman" w:cs="Times New Roman"/>
          <w:sz w:val="24"/>
          <w:szCs w:val="24"/>
        </w:rPr>
      </w:pPr>
    </w:p>
    <w:p w:rsidR="00516F1C" w:rsidRPr="00516F1C" w:rsidRDefault="00516F1C" w:rsidP="00516F1C">
      <w:pPr>
        <w:spacing w:after="0" w:line="480" w:lineRule="auto"/>
        <w:jc w:val="center"/>
        <w:rPr>
          <w:rFonts w:ascii="Times New Roman" w:hAnsi="Times New Roman" w:cs="Times New Roman"/>
          <w:b/>
          <w:sz w:val="24"/>
          <w:szCs w:val="24"/>
        </w:rPr>
      </w:pPr>
      <w:r w:rsidRPr="00516F1C">
        <w:rPr>
          <w:rFonts w:ascii="Times New Roman" w:hAnsi="Times New Roman" w:cs="Times New Roman"/>
          <w:b/>
          <w:sz w:val="24"/>
          <w:szCs w:val="24"/>
        </w:rPr>
        <w:t>The Impact of Brexit on the UK Economy</w:t>
      </w:r>
    </w:p>
    <w:p w:rsidR="00735613" w:rsidRPr="00735613" w:rsidRDefault="00735613" w:rsidP="00735613">
      <w:pPr>
        <w:spacing w:after="0" w:line="480" w:lineRule="auto"/>
        <w:jc w:val="center"/>
        <w:rPr>
          <w:rFonts w:ascii="Times New Roman" w:hAnsi="Times New Roman" w:cs="Times New Roman"/>
          <w:b/>
          <w:sz w:val="24"/>
          <w:szCs w:val="24"/>
        </w:rPr>
      </w:pPr>
    </w:p>
    <w:p w:rsidR="00540DD1" w:rsidRPr="00540DD1" w:rsidRDefault="00540DD1" w:rsidP="00735613">
      <w:pPr>
        <w:spacing w:after="0" w:line="480" w:lineRule="auto"/>
        <w:rPr>
          <w:rFonts w:ascii="Times New Roman" w:hAnsi="Times New Roman" w:cs="Times New Roman"/>
          <w:sz w:val="24"/>
          <w:szCs w:val="24"/>
        </w:rPr>
      </w:pPr>
    </w:p>
    <w:p w:rsidR="00540DD1" w:rsidRPr="00540DD1" w:rsidRDefault="00540DD1" w:rsidP="00540DD1">
      <w:pPr>
        <w:spacing w:after="0" w:line="480" w:lineRule="auto"/>
        <w:jc w:val="center"/>
        <w:rPr>
          <w:rFonts w:ascii="Times New Roman" w:hAnsi="Times New Roman" w:cs="Times New Roman"/>
          <w:sz w:val="24"/>
          <w:szCs w:val="24"/>
        </w:rPr>
      </w:pPr>
      <w:r w:rsidRPr="00540DD1">
        <w:rPr>
          <w:rFonts w:ascii="Times New Roman" w:hAnsi="Times New Roman" w:cs="Times New Roman"/>
          <w:sz w:val="24"/>
          <w:szCs w:val="24"/>
        </w:rPr>
        <w:t>Author</w:t>
      </w:r>
    </w:p>
    <w:p w:rsidR="00540DD1" w:rsidRPr="00540DD1" w:rsidRDefault="00540DD1" w:rsidP="00540DD1">
      <w:pPr>
        <w:spacing w:after="0" w:line="480" w:lineRule="auto"/>
        <w:jc w:val="center"/>
        <w:rPr>
          <w:rFonts w:ascii="Times New Roman" w:hAnsi="Times New Roman" w:cs="Times New Roman"/>
          <w:sz w:val="24"/>
          <w:szCs w:val="24"/>
        </w:rPr>
      </w:pPr>
      <w:r w:rsidRPr="00540DD1">
        <w:rPr>
          <w:rFonts w:ascii="Times New Roman" w:hAnsi="Times New Roman" w:cs="Times New Roman"/>
          <w:sz w:val="24"/>
          <w:szCs w:val="24"/>
        </w:rPr>
        <w:t>Institutional Affiliation</w:t>
      </w:r>
    </w:p>
    <w:p w:rsidR="00540DD1" w:rsidRPr="00540DD1" w:rsidRDefault="00540DD1" w:rsidP="00540DD1">
      <w:pPr>
        <w:spacing w:after="0" w:line="480" w:lineRule="auto"/>
        <w:jc w:val="center"/>
        <w:rPr>
          <w:rFonts w:ascii="Times New Roman" w:hAnsi="Times New Roman" w:cs="Times New Roman"/>
          <w:sz w:val="24"/>
          <w:szCs w:val="24"/>
        </w:rPr>
      </w:pPr>
      <w:r w:rsidRPr="00540DD1">
        <w:rPr>
          <w:rFonts w:ascii="Times New Roman" w:hAnsi="Times New Roman" w:cs="Times New Roman"/>
          <w:sz w:val="24"/>
          <w:szCs w:val="24"/>
        </w:rPr>
        <w:t>Course</w:t>
      </w:r>
    </w:p>
    <w:p w:rsidR="00540DD1" w:rsidRPr="00540DD1" w:rsidRDefault="00540DD1" w:rsidP="00540DD1">
      <w:pPr>
        <w:spacing w:after="0" w:line="480" w:lineRule="auto"/>
        <w:jc w:val="center"/>
        <w:rPr>
          <w:rFonts w:ascii="Times New Roman" w:hAnsi="Times New Roman" w:cs="Times New Roman"/>
          <w:sz w:val="24"/>
          <w:szCs w:val="24"/>
        </w:rPr>
      </w:pPr>
      <w:r w:rsidRPr="00540DD1">
        <w:rPr>
          <w:rFonts w:ascii="Times New Roman" w:hAnsi="Times New Roman" w:cs="Times New Roman"/>
          <w:sz w:val="24"/>
          <w:szCs w:val="24"/>
        </w:rPr>
        <w:t>Instructor</w:t>
      </w:r>
    </w:p>
    <w:p w:rsidR="00052E77" w:rsidRDefault="00052E77" w:rsidP="00540DD1">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Due d</w:t>
      </w:r>
      <w:r w:rsidR="00540DD1" w:rsidRPr="00540DD1">
        <w:rPr>
          <w:rFonts w:ascii="Times New Roman" w:hAnsi="Times New Roman" w:cs="Times New Roman"/>
          <w:sz w:val="24"/>
          <w:szCs w:val="24"/>
        </w:rPr>
        <w:t>ate</w:t>
      </w:r>
    </w:p>
    <w:p w:rsidR="00540DD1" w:rsidRPr="00052E77" w:rsidRDefault="00052E77" w:rsidP="00052E77">
      <w:pPr>
        <w:rPr>
          <w:rFonts w:ascii="Times New Roman" w:hAnsi="Times New Roman" w:cs="Times New Roman"/>
          <w:sz w:val="24"/>
          <w:szCs w:val="24"/>
        </w:rPr>
      </w:pPr>
      <w:r>
        <w:rPr>
          <w:rFonts w:ascii="Times New Roman" w:hAnsi="Times New Roman" w:cs="Times New Roman"/>
          <w:sz w:val="24"/>
          <w:szCs w:val="24"/>
        </w:rPr>
        <w:br w:type="page"/>
      </w:r>
    </w:p>
    <w:p w:rsidR="00BD3E21" w:rsidRDefault="00386C84" w:rsidP="00BD3E21">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The Impact of Brexit </w:t>
      </w:r>
      <w:r w:rsidR="00516F1C">
        <w:rPr>
          <w:rFonts w:ascii="Times New Roman" w:hAnsi="Times New Roman" w:cs="Times New Roman"/>
          <w:b/>
          <w:sz w:val="24"/>
          <w:szCs w:val="24"/>
        </w:rPr>
        <w:t>on</w:t>
      </w:r>
      <w:r>
        <w:rPr>
          <w:rFonts w:ascii="Times New Roman" w:hAnsi="Times New Roman" w:cs="Times New Roman"/>
          <w:b/>
          <w:sz w:val="24"/>
          <w:szCs w:val="24"/>
        </w:rPr>
        <w:t xml:space="preserve"> the UK </w:t>
      </w:r>
      <w:r w:rsidR="00516F1C">
        <w:rPr>
          <w:rFonts w:ascii="Times New Roman" w:hAnsi="Times New Roman" w:cs="Times New Roman"/>
          <w:b/>
          <w:sz w:val="24"/>
          <w:szCs w:val="24"/>
        </w:rPr>
        <w:t>Economy</w:t>
      </w:r>
    </w:p>
    <w:p w:rsidR="00386C84" w:rsidRDefault="00BD3E21" w:rsidP="00386C84">
      <w:pPr>
        <w:spacing w:after="0" w:line="480" w:lineRule="auto"/>
        <w:ind w:firstLine="720"/>
      </w:pPr>
      <w:r w:rsidRPr="00BD3E21">
        <w:rPr>
          <w:rFonts w:ascii="Times New Roman" w:hAnsi="Times New Roman" w:cs="Times New Roman"/>
          <w:sz w:val="24"/>
          <w:szCs w:val="24"/>
        </w:rPr>
        <w:t>Brexit alludes to the UK</w:t>
      </w:r>
      <w:r w:rsidR="00516F1C">
        <w:rPr>
          <w:rFonts w:ascii="Times New Roman" w:hAnsi="Times New Roman" w:cs="Times New Roman"/>
          <w:sz w:val="24"/>
          <w:szCs w:val="24"/>
        </w:rPr>
        <w:t>'</w:t>
      </w:r>
      <w:r w:rsidRPr="00BD3E21">
        <w:rPr>
          <w:rFonts w:ascii="Times New Roman" w:hAnsi="Times New Roman" w:cs="Times New Roman"/>
          <w:sz w:val="24"/>
          <w:szCs w:val="24"/>
        </w:rPr>
        <w:t>s</w:t>
      </w:r>
      <w:r>
        <w:rPr>
          <w:rFonts w:ascii="Times New Roman" w:hAnsi="Times New Roman" w:cs="Times New Roman"/>
          <w:sz w:val="24"/>
          <w:szCs w:val="24"/>
        </w:rPr>
        <w:t xml:space="preserve"> withdrawal from the European Union after voting in the June 2016 referendum. Since then, it has created possibilities such as regulatory changes in immigration, political autonomy</w:t>
      </w:r>
      <w:r w:rsidR="00516F1C">
        <w:rPr>
          <w:rFonts w:ascii="Times New Roman" w:hAnsi="Times New Roman" w:cs="Times New Roman"/>
          <w:sz w:val="24"/>
          <w:szCs w:val="24"/>
        </w:rPr>
        <w:t>,</w:t>
      </w:r>
      <w:r>
        <w:rPr>
          <w:rFonts w:ascii="Times New Roman" w:hAnsi="Times New Roman" w:cs="Times New Roman"/>
          <w:sz w:val="24"/>
          <w:szCs w:val="24"/>
        </w:rPr>
        <w:t xml:space="preserve"> and the economy.</w:t>
      </w:r>
      <w:r w:rsidRPr="00BD3E21">
        <w:t xml:space="preserve"> </w:t>
      </w:r>
      <w:r w:rsidRPr="00BD3E21">
        <w:rPr>
          <w:rFonts w:ascii="Times New Roman" w:hAnsi="Times New Roman" w:cs="Times New Roman"/>
          <w:sz w:val="24"/>
          <w:szCs w:val="24"/>
        </w:rPr>
        <w:t>Regulations influence how cost-effective businesses utilize workers and capital to produce output.</w:t>
      </w:r>
      <w:r w:rsidRPr="00BD3E21">
        <w:t xml:space="preserve"> </w:t>
      </w:r>
      <w:r w:rsidRPr="00BD3E21">
        <w:rPr>
          <w:rFonts w:ascii="Times New Roman" w:hAnsi="Times New Roman" w:cs="Times New Roman"/>
          <w:sz w:val="24"/>
          <w:szCs w:val="24"/>
        </w:rPr>
        <w:t xml:space="preserve">Brexit has enabled the UK to navigate economic opportunities, such as trade, through immigration, regulations, </w:t>
      </w:r>
      <w:r w:rsidR="00516F1C">
        <w:rPr>
          <w:rFonts w:ascii="Times New Roman" w:hAnsi="Times New Roman" w:cs="Times New Roman"/>
          <w:sz w:val="24"/>
          <w:szCs w:val="24"/>
        </w:rPr>
        <w:t xml:space="preserve">and </w:t>
      </w:r>
      <w:r w:rsidRPr="00BD3E21">
        <w:rPr>
          <w:rFonts w:ascii="Times New Roman" w:hAnsi="Times New Roman" w:cs="Times New Roman"/>
          <w:sz w:val="24"/>
          <w:szCs w:val="24"/>
        </w:rPr>
        <w:t>financial markets while reshaping political and material interests created from their independence</w:t>
      </w:r>
      <w:r w:rsidR="00386C84">
        <w:rPr>
          <w:rFonts w:ascii="Times New Roman" w:hAnsi="Times New Roman" w:cs="Times New Roman"/>
          <w:sz w:val="24"/>
          <w:szCs w:val="24"/>
        </w:rPr>
        <w:t>.</w:t>
      </w:r>
      <w:r w:rsidR="00386C84" w:rsidRPr="00386C84">
        <w:t xml:space="preserve"> </w:t>
      </w:r>
    </w:p>
    <w:p w:rsidR="00386C84" w:rsidRPr="00386C84" w:rsidRDefault="00516F1C" w:rsidP="00516F1C">
      <w:pPr>
        <w:spacing w:after="0" w:line="480" w:lineRule="auto"/>
        <w:rPr>
          <w:rFonts w:ascii="Times New Roman" w:hAnsi="Times New Roman" w:cs="Times New Roman"/>
          <w:b/>
          <w:sz w:val="24"/>
          <w:szCs w:val="24"/>
        </w:rPr>
      </w:pPr>
      <w:proofErr w:type="spellStart"/>
      <w:r>
        <w:rPr>
          <w:rFonts w:ascii="Times New Roman" w:hAnsi="Times New Roman" w:cs="Times New Roman"/>
          <w:b/>
          <w:sz w:val="24"/>
          <w:szCs w:val="24"/>
        </w:rPr>
        <w:t>Brexit's</w:t>
      </w:r>
      <w:proofErr w:type="spellEnd"/>
      <w:r>
        <w:rPr>
          <w:rFonts w:ascii="Times New Roman" w:hAnsi="Times New Roman" w:cs="Times New Roman"/>
          <w:b/>
          <w:sz w:val="24"/>
          <w:szCs w:val="24"/>
        </w:rPr>
        <w:t xml:space="preserve"> interconnectedness with Trade and Migration </w:t>
      </w:r>
    </w:p>
    <w:p w:rsidR="00BD3E21" w:rsidRDefault="00386C84" w:rsidP="00516F1C">
      <w:pPr>
        <w:spacing w:after="0" w:line="480" w:lineRule="auto"/>
        <w:ind w:firstLine="720"/>
        <w:rPr>
          <w:rFonts w:ascii="Times New Roman" w:hAnsi="Times New Roman" w:cs="Times New Roman"/>
          <w:sz w:val="24"/>
          <w:szCs w:val="24"/>
        </w:rPr>
      </w:pPr>
      <w:r w:rsidRPr="00386C84">
        <w:rPr>
          <w:rFonts w:ascii="Times New Roman" w:hAnsi="Times New Roman" w:cs="Times New Roman"/>
          <w:sz w:val="24"/>
          <w:szCs w:val="24"/>
        </w:rPr>
        <w:t>Brexit affects UK economic growth through its potential impact on trade barriers. According to</w:t>
      </w:r>
      <w:r>
        <w:rPr>
          <w:rFonts w:ascii="Times New Roman" w:hAnsi="Times New Roman" w:cs="Times New Roman"/>
          <w:sz w:val="24"/>
          <w:szCs w:val="24"/>
        </w:rPr>
        <w:t xml:space="preserve"> </w:t>
      </w:r>
      <w:proofErr w:type="spellStart"/>
      <w:r>
        <w:rPr>
          <w:rFonts w:ascii="Times New Roman" w:hAnsi="Times New Roman" w:cs="Times New Roman"/>
          <w:sz w:val="24"/>
          <w:szCs w:val="24"/>
        </w:rPr>
        <w:t>Tetlow</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Stojanovic</w:t>
      </w:r>
      <w:proofErr w:type="spellEnd"/>
      <w:r>
        <w:rPr>
          <w:rFonts w:ascii="Times New Roman" w:hAnsi="Times New Roman" w:cs="Times New Roman"/>
          <w:sz w:val="24"/>
          <w:szCs w:val="24"/>
        </w:rPr>
        <w:t xml:space="preserve"> (2018), </w:t>
      </w:r>
      <w:r w:rsidRPr="00386C84">
        <w:rPr>
          <w:rFonts w:ascii="Times New Roman" w:hAnsi="Times New Roman" w:cs="Times New Roman"/>
          <w:sz w:val="24"/>
          <w:szCs w:val="24"/>
        </w:rPr>
        <w:t>trade barriers reduce trade between countries, affecting their economic output.</w:t>
      </w:r>
      <w:r w:rsidR="00516F1C" w:rsidRPr="00516F1C">
        <w:t xml:space="preserve"> </w:t>
      </w:r>
      <w:r w:rsidR="00516F1C" w:rsidRPr="00516F1C">
        <w:rPr>
          <w:rFonts w:ascii="Times New Roman" w:hAnsi="Times New Roman" w:cs="Times New Roman"/>
          <w:sz w:val="24"/>
          <w:szCs w:val="24"/>
        </w:rPr>
        <w:t>Brexit proposers advocated for a looser global trading system that would make the UK freer and a better off actor that would utilize global opportunities without the existing regulations from the EU single market (</w:t>
      </w:r>
      <w:proofErr w:type="spellStart"/>
      <w:r w:rsidR="00516F1C" w:rsidRPr="00516F1C">
        <w:rPr>
          <w:rFonts w:ascii="Times New Roman" w:hAnsi="Times New Roman" w:cs="Times New Roman"/>
          <w:sz w:val="24"/>
          <w:szCs w:val="24"/>
        </w:rPr>
        <w:t>Zappettini</w:t>
      </w:r>
      <w:proofErr w:type="spellEnd"/>
      <w:r w:rsidR="00516F1C" w:rsidRPr="00516F1C">
        <w:rPr>
          <w:rFonts w:ascii="Times New Roman" w:hAnsi="Times New Roman" w:cs="Times New Roman"/>
          <w:sz w:val="24"/>
          <w:szCs w:val="24"/>
        </w:rPr>
        <w:t>, 2019).</w:t>
      </w:r>
      <w:r w:rsidRPr="00386C84">
        <w:rPr>
          <w:rFonts w:ascii="Times New Roman" w:hAnsi="Times New Roman" w:cs="Times New Roman"/>
          <w:sz w:val="24"/>
          <w:szCs w:val="24"/>
        </w:rPr>
        <w:t xml:space="preserve"> Brexit has allowed Britain to establish new trade and investment hubs in Scotland, Wales, and Northern Ireland. The hubs support businesses with better access to major trade markets in the US, Japan, and India ("The Benefits of Brexit, 2022"). Such hubs boost exports and accrue benefits to the country's global trade policy to the rest of the UK. Brexit allowed trading opportunities by eliminating non-tariff barriers to trade or removing tariffs and creating hubs that supported trade and investment.</w:t>
      </w:r>
    </w:p>
    <w:p w:rsidR="00386C84" w:rsidRDefault="00386C84" w:rsidP="00386C84">
      <w:pPr>
        <w:spacing w:after="0" w:line="480" w:lineRule="auto"/>
        <w:ind w:firstLine="720"/>
        <w:rPr>
          <w:rFonts w:ascii="Times New Roman" w:hAnsi="Times New Roman" w:cs="Times New Roman"/>
          <w:sz w:val="24"/>
          <w:szCs w:val="24"/>
        </w:rPr>
      </w:pPr>
      <w:r w:rsidRPr="00386C84">
        <w:rPr>
          <w:rFonts w:ascii="Times New Roman" w:hAnsi="Times New Roman" w:cs="Times New Roman"/>
          <w:sz w:val="24"/>
          <w:szCs w:val="24"/>
        </w:rPr>
        <w:t>Brexit rules on the migration of skilled and unskilled workers can impact trade. Brexit ended free movement and allowed Britain to gain control over its borders. The country introduced a point-based immigration system focused on skilled workers who attained English-language requirements, appropriate skills, and salary thresholds ("</w:t>
      </w:r>
      <w:r w:rsidR="00516F1C">
        <w:rPr>
          <w:rFonts w:ascii="Times New Roman" w:hAnsi="Times New Roman" w:cs="Times New Roman"/>
          <w:sz w:val="24"/>
          <w:szCs w:val="24"/>
        </w:rPr>
        <w:t>T</w:t>
      </w:r>
      <w:r w:rsidRPr="00386C84">
        <w:rPr>
          <w:rFonts w:ascii="Times New Roman" w:hAnsi="Times New Roman" w:cs="Times New Roman"/>
          <w:sz w:val="24"/>
          <w:szCs w:val="24"/>
        </w:rPr>
        <w:t xml:space="preserve">he Benefits of Brexit," 2022). </w:t>
      </w:r>
      <w:r w:rsidRPr="00386C84">
        <w:rPr>
          <w:rFonts w:ascii="Times New Roman" w:hAnsi="Times New Roman" w:cs="Times New Roman"/>
          <w:sz w:val="24"/>
          <w:szCs w:val="24"/>
        </w:rPr>
        <w:lastRenderedPageBreak/>
        <w:t>Migration influences overall economic output by determining the mix of skills available, affecting levels of innovation within an economy (</w:t>
      </w:r>
      <w:proofErr w:type="spellStart"/>
      <w:r w:rsidRPr="00386C84">
        <w:rPr>
          <w:rFonts w:ascii="Times New Roman" w:hAnsi="Times New Roman" w:cs="Times New Roman"/>
          <w:sz w:val="24"/>
          <w:szCs w:val="24"/>
        </w:rPr>
        <w:t>Tetlow</w:t>
      </w:r>
      <w:proofErr w:type="spellEnd"/>
      <w:r w:rsidRPr="00386C84">
        <w:rPr>
          <w:rFonts w:ascii="Times New Roman" w:hAnsi="Times New Roman" w:cs="Times New Roman"/>
          <w:sz w:val="24"/>
          <w:szCs w:val="24"/>
        </w:rPr>
        <w:t xml:space="preserve"> and </w:t>
      </w:r>
      <w:proofErr w:type="spellStart"/>
      <w:r w:rsidRPr="00386C84">
        <w:rPr>
          <w:rFonts w:ascii="Times New Roman" w:hAnsi="Times New Roman" w:cs="Times New Roman"/>
          <w:sz w:val="24"/>
          <w:szCs w:val="24"/>
        </w:rPr>
        <w:t>Stojanovic</w:t>
      </w:r>
      <w:proofErr w:type="spellEnd"/>
      <w:r w:rsidRPr="00386C84">
        <w:rPr>
          <w:rFonts w:ascii="Times New Roman" w:hAnsi="Times New Roman" w:cs="Times New Roman"/>
          <w:sz w:val="24"/>
          <w:szCs w:val="24"/>
        </w:rPr>
        <w:t xml:space="preserve">, 2018). As </w:t>
      </w:r>
      <w:proofErr w:type="spellStart"/>
      <w:r w:rsidRPr="00386C84">
        <w:rPr>
          <w:rFonts w:ascii="Times New Roman" w:hAnsi="Times New Roman" w:cs="Times New Roman"/>
          <w:sz w:val="24"/>
          <w:szCs w:val="24"/>
        </w:rPr>
        <w:t>Andreouli</w:t>
      </w:r>
      <w:proofErr w:type="spellEnd"/>
      <w:r w:rsidRPr="00386C84">
        <w:rPr>
          <w:rFonts w:ascii="Times New Roman" w:hAnsi="Times New Roman" w:cs="Times New Roman"/>
          <w:sz w:val="24"/>
          <w:szCs w:val="24"/>
        </w:rPr>
        <w:t xml:space="preserve"> et al. (2018) observe, immigration may define acceptable political positions, such as immigration, as a problem rather than an opportunity, which is symptomatic of the destructive cessation of established political authorities.</w:t>
      </w:r>
    </w:p>
    <w:p w:rsidR="00E61CCB" w:rsidRPr="00386C84" w:rsidRDefault="00E61CCB" w:rsidP="00E61CCB">
      <w:pPr>
        <w:spacing w:after="0" w:line="480" w:lineRule="auto"/>
        <w:ind w:firstLine="720"/>
        <w:rPr>
          <w:rFonts w:ascii="Times New Roman" w:hAnsi="Times New Roman" w:cs="Times New Roman"/>
          <w:sz w:val="24"/>
          <w:szCs w:val="24"/>
        </w:rPr>
      </w:pPr>
      <w:r w:rsidRPr="00E61CCB">
        <w:rPr>
          <w:rFonts w:ascii="Times New Roman" w:hAnsi="Times New Roman" w:cs="Times New Roman"/>
          <w:sz w:val="24"/>
          <w:szCs w:val="24"/>
        </w:rPr>
        <w:t xml:space="preserve">UK policymakers </w:t>
      </w:r>
      <w:r w:rsidR="00516F1C">
        <w:rPr>
          <w:rFonts w:ascii="Times New Roman" w:hAnsi="Times New Roman" w:cs="Times New Roman"/>
          <w:sz w:val="24"/>
          <w:szCs w:val="24"/>
        </w:rPr>
        <w:t>knew</w:t>
      </w:r>
      <w:r w:rsidRPr="00E61CCB">
        <w:rPr>
          <w:rFonts w:ascii="Times New Roman" w:hAnsi="Times New Roman" w:cs="Times New Roman"/>
          <w:sz w:val="24"/>
          <w:szCs w:val="24"/>
        </w:rPr>
        <w:t xml:space="preserve"> </w:t>
      </w:r>
      <w:r w:rsidR="00516F1C">
        <w:rPr>
          <w:rFonts w:ascii="Times New Roman" w:hAnsi="Times New Roman" w:cs="Times New Roman"/>
          <w:sz w:val="24"/>
          <w:szCs w:val="24"/>
        </w:rPr>
        <w:t>how</w:t>
      </w:r>
      <w:r w:rsidRPr="00E61CCB">
        <w:rPr>
          <w:rFonts w:ascii="Times New Roman" w:hAnsi="Times New Roman" w:cs="Times New Roman"/>
          <w:sz w:val="24"/>
          <w:szCs w:val="24"/>
        </w:rPr>
        <w:t xml:space="preserve"> </w:t>
      </w:r>
      <w:r w:rsidR="00516F1C">
        <w:rPr>
          <w:rFonts w:ascii="Times New Roman" w:hAnsi="Times New Roman" w:cs="Times New Roman"/>
          <w:sz w:val="24"/>
          <w:szCs w:val="24"/>
        </w:rPr>
        <w:t xml:space="preserve">the </w:t>
      </w:r>
      <w:r w:rsidRPr="00E61CCB">
        <w:rPr>
          <w:rFonts w:ascii="Times New Roman" w:hAnsi="Times New Roman" w:cs="Times New Roman"/>
          <w:sz w:val="24"/>
          <w:szCs w:val="24"/>
        </w:rPr>
        <w:t>centrality of finance to their consumption-led strategy and the priority of maintaining London as the preeminent hub of Europe</w:t>
      </w:r>
      <w:r w:rsidR="00516F1C">
        <w:rPr>
          <w:rFonts w:ascii="Times New Roman" w:hAnsi="Times New Roman" w:cs="Times New Roman"/>
          <w:sz w:val="24"/>
          <w:szCs w:val="24"/>
        </w:rPr>
        <w:t xml:space="preserve"> would impact trade</w:t>
      </w:r>
      <w:r w:rsidRPr="00E61CCB">
        <w:rPr>
          <w:rFonts w:ascii="Times New Roman" w:hAnsi="Times New Roman" w:cs="Times New Roman"/>
          <w:sz w:val="24"/>
          <w:szCs w:val="24"/>
        </w:rPr>
        <w:t>. For instance, the City of London benefits from European financial services: it offers EU-based firms access to financial products at a cheaper cost, facilitating commercial flexibility, competitiveness, and efficiency (</w:t>
      </w:r>
      <w:proofErr w:type="spellStart"/>
      <w:r w:rsidRPr="00E61CCB">
        <w:rPr>
          <w:rFonts w:ascii="Times New Roman" w:hAnsi="Times New Roman" w:cs="Times New Roman"/>
          <w:sz w:val="24"/>
          <w:szCs w:val="24"/>
        </w:rPr>
        <w:t>Kalaitzake</w:t>
      </w:r>
      <w:proofErr w:type="spellEnd"/>
      <w:r w:rsidRPr="00E61CCB">
        <w:rPr>
          <w:rFonts w:ascii="Times New Roman" w:hAnsi="Times New Roman" w:cs="Times New Roman"/>
          <w:sz w:val="24"/>
          <w:szCs w:val="24"/>
        </w:rPr>
        <w:t>, 2020). Hence, special contingency measures were designed at the national level to mitigate a rupture in financial operations. An example of such measures included the UK's Temporary Permissions Regime</w:t>
      </w:r>
      <w:r w:rsidR="00516F1C">
        <w:rPr>
          <w:rFonts w:ascii="Times New Roman" w:hAnsi="Times New Roman" w:cs="Times New Roman"/>
          <w:sz w:val="24"/>
          <w:szCs w:val="24"/>
        </w:rPr>
        <w:t xml:space="preserve"> (TPR)</w:t>
      </w:r>
      <w:r w:rsidRPr="00E61CCB">
        <w:rPr>
          <w:rFonts w:ascii="Times New Roman" w:hAnsi="Times New Roman" w:cs="Times New Roman"/>
          <w:sz w:val="24"/>
          <w:szCs w:val="24"/>
        </w:rPr>
        <w:t>, in which the British government managed continuity within financial markets (</w:t>
      </w:r>
      <w:proofErr w:type="spellStart"/>
      <w:r w:rsidRPr="00E61CCB">
        <w:rPr>
          <w:rFonts w:ascii="Times New Roman" w:hAnsi="Times New Roman" w:cs="Times New Roman"/>
          <w:sz w:val="24"/>
          <w:szCs w:val="24"/>
        </w:rPr>
        <w:t>Kalaitzake</w:t>
      </w:r>
      <w:proofErr w:type="spellEnd"/>
      <w:r w:rsidRPr="00E61CCB">
        <w:rPr>
          <w:rFonts w:ascii="Times New Roman" w:hAnsi="Times New Roman" w:cs="Times New Roman"/>
          <w:sz w:val="24"/>
          <w:szCs w:val="24"/>
        </w:rPr>
        <w:t>, 2020). TPR allowed EU firms past porting into the UK to continue operations under prevailing conditions for three years (</w:t>
      </w:r>
      <w:proofErr w:type="spellStart"/>
      <w:r w:rsidRPr="00E61CCB">
        <w:rPr>
          <w:rFonts w:ascii="Times New Roman" w:hAnsi="Times New Roman" w:cs="Times New Roman"/>
          <w:sz w:val="24"/>
          <w:szCs w:val="24"/>
        </w:rPr>
        <w:t>Kalaitzake</w:t>
      </w:r>
      <w:proofErr w:type="spellEnd"/>
      <w:r w:rsidRPr="00E61CCB">
        <w:rPr>
          <w:rFonts w:ascii="Times New Roman" w:hAnsi="Times New Roman" w:cs="Times New Roman"/>
          <w:sz w:val="24"/>
          <w:szCs w:val="24"/>
        </w:rPr>
        <w:t xml:space="preserve">, 2020). The measure offered time to resume negations for a separate financial trade deal based on equivalence. </w:t>
      </w:r>
    </w:p>
    <w:p w:rsidR="00386C84" w:rsidRPr="00516F1C" w:rsidRDefault="00386C84" w:rsidP="00516F1C">
      <w:pPr>
        <w:spacing w:after="0" w:line="480" w:lineRule="auto"/>
        <w:rPr>
          <w:rFonts w:ascii="Times New Roman" w:hAnsi="Times New Roman" w:cs="Times New Roman"/>
          <w:b/>
          <w:sz w:val="24"/>
          <w:szCs w:val="24"/>
        </w:rPr>
      </w:pPr>
      <w:r w:rsidRPr="00516F1C">
        <w:rPr>
          <w:rFonts w:ascii="Times New Roman" w:hAnsi="Times New Roman" w:cs="Times New Roman"/>
          <w:b/>
          <w:sz w:val="24"/>
          <w:szCs w:val="24"/>
        </w:rPr>
        <w:t>Political Changes</w:t>
      </w:r>
      <w:r w:rsidR="00516F1C" w:rsidRPr="00516F1C">
        <w:rPr>
          <w:rFonts w:ascii="Times New Roman" w:hAnsi="Times New Roman" w:cs="Times New Roman"/>
          <w:b/>
          <w:sz w:val="24"/>
          <w:szCs w:val="24"/>
        </w:rPr>
        <w:t xml:space="preserve"> accruing from Brexit</w:t>
      </w:r>
    </w:p>
    <w:p w:rsidR="00E61CCB" w:rsidRDefault="00E61CCB" w:rsidP="00386C84">
      <w:pPr>
        <w:spacing w:after="0" w:line="480" w:lineRule="auto"/>
        <w:ind w:firstLine="720"/>
        <w:rPr>
          <w:rFonts w:ascii="Times New Roman" w:hAnsi="Times New Roman" w:cs="Times New Roman"/>
          <w:sz w:val="24"/>
          <w:szCs w:val="24"/>
        </w:rPr>
      </w:pPr>
      <w:r w:rsidRPr="00E61CCB">
        <w:rPr>
          <w:rFonts w:ascii="Times New Roman" w:hAnsi="Times New Roman" w:cs="Times New Roman"/>
          <w:sz w:val="24"/>
          <w:szCs w:val="24"/>
        </w:rPr>
        <w:t xml:space="preserve">Through Brexit, the country restored democratic control over its lawmaking by empowering its parliament to make and scrutinize laws. For instance, establishing a new Digital Markets Unit within the Competitions and Markets Authority on April 7, 2021, will generate competition and innovations within digital markets and rebalance power between businesses and consumers ("The Benefits of Brexit," 2022). However, a clear recognition by policymakers of complex structural interdependencies should coexist between economies for proactive according </w:t>
      </w:r>
      <w:r w:rsidRPr="00E61CCB">
        <w:rPr>
          <w:rFonts w:ascii="Times New Roman" w:hAnsi="Times New Roman" w:cs="Times New Roman"/>
          <w:sz w:val="24"/>
          <w:szCs w:val="24"/>
        </w:rPr>
        <w:lastRenderedPageBreak/>
        <w:t>to economic safeguards (</w:t>
      </w:r>
      <w:proofErr w:type="spellStart"/>
      <w:r w:rsidRPr="00E61CCB">
        <w:rPr>
          <w:rFonts w:ascii="Times New Roman" w:hAnsi="Times New Roman" w:cs="Times New Roman"/>
          <w:sz w:val="24"/>
          <w:szCs w:val="24"/>
        </w:rPr>
        <w:t>Kalaitzake</w:t>
      </w:r>
      <w:proofErr w:type="spellEnd"/>
      <w:r w:rsidRPr="00E61CCB">
        <w:rPr>
          <w:rFonts w:ascii="Times New Roman" w:hAnsi="Times New Roman" w:cs="Times New Roman"/>
          <w:sz w:val="24"/>
          <w:szCs w:val="24"/>
        </w:rPr>
        <w:t>, 2020). Therefore, the structural interdependence between the European economy and UK financial system provides an economic rationale for policymakers to better citizens' lives. Consequently, the devolved parliaments would make laws in Belfast, London, Edinburgh, and Cardiff instead of Brussels in Belgium. The financial industry has received protections not afforded to any other economic sector.</w:t>
      </w:r>
      <w:r w:rsidR="00516F1C">
        <w:rPr>
          <w:rFonts w:ascii="Times New Roman" w:hAnsi="Times New Roman" w:cs="Times New Roman"/>
          <w:sz w:val="24"/>
          <w:szCs w:val="24"/>
        </w:rPr>
        <w:t xml:space="preserve"> Freedom from the EU enables the UK to sub charge the areas where they have a competitive advantage, driving economic growth and creating employment opportunities.  </w:t>
      </w:r>
    </w:p>
    <w:p w:rsidR="00E61CCB" w:rsidRPr="00E61CCB" w:rsidRDefault="00E61CCB" w:rsidP="00E61CCB">
      <w:pPr>
        <w:spacing w:after="0" w:line="480" w:lineRule="auto"/>
        <w:ind w:firstLine="720"/>
        <w:rPr>
          <w:rFonts w:ascii="Times New Roman" w:hAnsi="Times New Roman" w:cs="Times New Roman"/>
          <w:sz w:val="24"/>
          <w:szCs w:val="24"/>
        </w:rPr>
      </w:pPr>
      <w:r w:rsidRPr="00E61CCB">
        <w:rPr>
          <w:rFonts w:ascii="Times New Roman" w:hAnsi="Times New Roman" w:cs="Times New Roman"/>
          <w:sz w:val="24"/>
          <w:szCs w:val="24"/>
        </w:rPr>
        <w:t>Brexit has allowed the UK to go beyond the limitations of EU spending. For instance, the UK will invest £2.6 billion of funding through the UK Shared Propensity Fund by 2025 ("The Benefits of Brexit, 2022"). The fund succeeds the fragmented EU funds that overlapped with domestic programs, allowing better alignment with the government's priorities. It has brought freedom to regulate in a more proportionate and agile manner that was impossible while being a member of the EU. Legislating and giving it powers to oversee and enforce the regime will prove imperative for economic sustainability.</w:t>
      </w:r>
    </w:p>
    <w:p w:rsidR="00E61CCB" w:rsidRDefault="00E61CCB" w:rsidP="00386C84">
      <w:pPr>
        <w:spacing w:after="0" w:line="480" w:lineRule="auto"/>
        <w:ind w:firstLine="720"/>
        <w:rPr>
          <w:rFonts w:ascii="Times New Roman" w:hAnsi="Times New Roman" w:cs="Times New Roman"/>
          <w:sz w:val="24"/>
          <w:szCs w:val="24"/>
        </w:rPr>
      </w:pPr>
      <w:r w:rsidRPr="00E61CCB">
        <w:rPr>
          <w:rFonts w:ascii="Times New Roman" w:hAnsi="Times New Roman" w:cs="Times New Roman"/>
          <w:sz w:val="24"/>
          <w:szCs w:val="24"/>
        </w:rPr>
        <w:t>Brexit made it more challenging for criminals to enter the UK. Under the EU free movement, the country had to allow foreign criminals into the country who would be stopped and turned away</w:t>
      </w:r>
      <w:r>
        <w:rPr>
          <w:rFonts w:ascii="Times New Roman" w:hAnsi="Times New Roman" w:cs="Times New Roman"/>
          <w:sz w:val="24"/>
          <w:szCs w:val="24"/>
        </w:rPr>
        <w:t xml:space="preserve"> (</w:t>
      </w:r>
      <w:r w:rsidR="00516F1C">
        <w:rPr>
          <w:rFonts w:ascii="Times New Roman" w:hAnsi="Times New Roman" w:cs="Times New Roman"/>
          <w:sz w:val="24"/>
          <w:szCs w:val="24"/>
        </w:rPr>
        <w:t>"</w:t>
      </w:r>
      <w:r w:rsidRPr="00E61CCB">
        <w:rPr>
          <w:rFonts w:ascii="Times New Roman" w:hAnsi="Times New Roman" w:cs="Times New Roman"/>
          <w:sz w:val="24"/>
          <w:szCs w:val="24"/>
        </w:rPr>
        <w:t>The Benefits of Brexit," 2022</w:t>
      </w:r>
      <w:r>
        <w:rPr>
          <w:rFonts w:ascii="Times New Roman" w:hAnsi="Times New Roman" w:cs="Times New Roman"/>
          <w:sz w:val="24"/>
          <w:szCs w:val="24"/>
        </w:rPr>
        <w:t>)</w:t>
      </w:r>
      <w:r w:rsidRPr="00E61CCB">
        <w:rPr>
          <w:rFonts w:ascii="Times New Roman" w:hAnsi="Times New Roman" w:cs="Times New Roman"/>
          <w:sz w:val="24"/>
          <w:szCs w:val="24"/>
        </w:rPr>
        <w:t>. The government has brought rules for EU criminals not protected by the Withdrawal Agreement congruent with foreign criminals: EU nationals sentenced to a year or more in jail would be refused entry to the UK ("The Benefits of Brexit," 2022). Herein, it alludes to the lack of British power perceived to be caused by the interconnectedness of EU states, laws, and institutions. Therefore, immigration-as-a-problem is concurrent with the equal legitimization of the political authority of the European Union.</w:t>
      </w:r>
    </w:p>
    <w:p w:rsidR="00516F1C" w:rsidRDefault="00E61CCB" w:rsidP="00516F1C">
      <w:pPr>
        <w:spacing w:after="0" w:line="480" w:lineRule="auto"/>
        <w:ind w:firstLine="720"/>
        <w:rPr>
          <w:rFonts w:ascii="Times New Roman" w:hAnsi="Times New Roman" w:cs="Times New Roman"/>
          <w:sz w:val="24"/>
          <w:szCs w:val="24"/>
        </w:rPr>
      </w:pPr>
      <w:r w:rsidRPr="00E61CCB">
        <w:rPr>
          <w:rFonts w:ascii="Times New Roman" w:hAnsi="Times New Roman" w:cs="Times New Roman"/>
          <w:sz w:val="24"/>
          <w:szCs w:val="24"/>
        </w:rPr>
        <w:lastRenderedPageBreak/>
        <w:t>Brexit provides avenues for a thriving GDP and well-remunerated employment, which predisposes policymakers to align with pro-finance policy objectives. The UK can mobilize resources to lobby and persuade public officials to adopt policy preferences</w:t>
      </w:r>
      <w:r>
        <w:rPr>
          <w:rFonts w:ascii="Times New Roman" w:hAnsi="Times New Roman" w:cs="Times New Roman"/>
          <w:sz w:val="24"/>
          <w:szCs w:val="24"/>
        </w:rPr>
        <w:t xml:space="preserve"> through regulatory freedom than when they were part of </w:t>
      </w:r>
      <w:r w:rsidR="00516F1C">
        <w:rPr>
          <w:rFonts w:ascii="Times New Roman" w:hAnsi="Times New Roman" w:cs="Times New Roman"/>
          <w:sz w:val="24"/>
          <w:szCs w:val="24"/>
        </w:rPr>
        <w:t xml:space="preserve">the </w:t>
      </w:r>
      <w:r>
        <w:rPr>
          <w:rFonts w:ascii="Times New Roman" w:hAnsi="Times New Roman" w:cs="Times New Roman"/>
          <w:sz w:val="24"/>
          <w:szCs w:val="24"/>
        </w:rPr>
        <w:t>EU.</w:t>
      </w:r>
      <w:r w:rsidR="00516F1C">
        <w:rPr>
          <w:rFonts w:ascii="Times New Roman" w:hAnsi="Times New Roman" w:cs="Times New Roman"/>
          <w:sz w:val="24"/>
          <w:szCs w:val="24"/>
        </w:rPr>
        <w:t xml:space="preserve"> Brexit has enabled the UK's economy with a framework to operate, grow and innovate.</w:t>
      </w:r>
    </w:p>
    <w:p w:rsidR="00BD3E21" w:rsidRPr="00BD3E21" w:rsidRDefault="00516F1C" w:rsidP="00516F1C">
      <w:pPr>
        <w:rPr>
          <w:rFonts w:ascii="Times New Roman" w:hAnsi="Times New Roman" w:cs="Times New Roman"/>
          <w:sz w:val="24"/>
          <w:szCs w:val="24"/>
        </w:rPr>
      </w:pPr>
      <w:r>
        <w:rPr>
          <w:rFonts w:ascii="Times New Roman" w:hAnsi="Times New Roman" w:cs="Times New Roman"/>
          <w:sz w:val="24"/>
          <w:szCs w:val="24"/>
        </w:rPr>
        <w:br w:type="page"/>
      </w:r>
    </w:p>
    <w:p w:rsidR="00264122" w:rsidRPr="00735613" w:rsidRDefault="00264122" w:rsidP="00264122">
      <w:pPr>
        <w:spacing w:line="480" w:lineRule="auto"/>
        <w:jc w:val="center"/>
        <w:rPr>
          <w:rFonts w:ascii="Times New Roman" w:hAnsi="Times New Roman" w:cs="Times New Roman"/>
          <w:b/>
          <w:sz w:val="24"/>
          <w:szCs w:val="24"/>
        </w:rPr>
      </w:pPr>
      <w:r w:rsidRPr="00735613">
        <w:rPr>
          <w:rFonts w:ascii="Times New Roman" w:hAnsi="Times New Roman" w:cs="Times New Roman"/>
          <w:b/>
          <w:sz w:val="24"/>
          <w:szCs w:val="24"/>
        </w:rPr>
        <w:lastRenderedPageBreak/>
        <w:t>References</w:t>
      </w:r>
    </w:p>
    <w:p w:rsidR="00516F1C" w:rsidRDefault="00AF03B3" w:rsidP="00516F1C">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w:t>
      </w:r>
      <w:r w:rsidR="00516F1C">
        <w:rPr>
          <w:rFonts w:ascii="Times New Roman" w:hAnsi="Times New Roman" w:cs="Times New Roman"/>
          <w:sz w:val="24"/>
          <w:szCs w:val="24"/>
        </w:rPr>
        <w:t>The benefits of Brexit: How the UK is taking advantage of leaving the EU.</w:t>
      </w:r>
      <w:r>
        <w:rPr>
          <w:rFonts w:ascii="Times New Roman" w:hAnsi="Times New Roman" w:cs="Times New Roman"/>
          <w:sz w:val="24"/>
          <w:szCs w:val="24"/>
        </w:rPr>
        <w:t>"</w:t>
      </w:r>
      <w:r w:rsidR="00516F1C">
        <w:rPr>
          <w:rFonts w:ascii="Times New Roman" w:hAnsi="Times New Roman" w:cs="Times New Roman"/>
          <w:sz w:val="24"/>
          <w:szCs w:val="24"/>
        </w:rPr>
        <w:t xml:space="preserve"> (2022, Jan). </w:t>
      </w:r>
      <w:r w:rsidR="00516F1C" w:rsidRPr="00516F1C">
        <w:rPr>
          <w:rFonts w:ascii="Times New Roman" w:hAnsi="Times New Roman" w:cs="Times New Roman"/>
          <w:i/>
          <w:sz w:val="24"/>
          <w:szCs w:val="24"/>
        </w:rPr>
        <w:t>HM Government.</w:t>
      </w:r>
      <w:r w:rsidR="00516F1C">
        <w:rPr>
          <w:rFonts w:ascii="Times New Roman" w:hAnsi="Times New Roman" w:cs="Times New Roman"/>
          <w:sz w:val="24"/>
          <w:szCs w:val="24"/>
        </w:rPr>
        <w:t xml:space="preserve"> </w:t>
      </w:r>
      <w:hyperlink r:id="rId7" w:history="1">
        <w:r w:rsidR="00516F1C" w:rsidRPr="00342EC9">
          <w:rPr>
            <w:rStyle w:val="Hyperlink"/>
            <w:rFonts w:ascii="Times New Roman" w:hAnsi="Times New Roman" w:cs="Times New Roman"/>
            <w:sz w:val="24"/>
            <w:szCs w:val="24"/>
          </w:rPr>
          <w:t>https://assets.publishing.service.gov.uk/government/uploads/system/uploads/attachment_data/file/1054643/benefits-of-brexit.pdf</w:t>
        </w:r>
      </w:hyperlink>
    </w:p>
    <w:p w:rsidR="00516F1C" w:rsidRDefault="00516F1C" w:rsidP="00516F1C">
      <w:pPr>
        <w:spacing w:line="480" w:lineRule="auto"/>
        <w:ind w:left="720" w:hanging="720"/>
        <w:rPr>
          <w:rFonts w:ascii="Times New Roman" w:hAnsi="Times New Roman" w:cs="Times New Roman"/>
          <w:sz w:val="24"/>
          <w:szCs w:val="24"/>
        </w:rPr>
      </w:pPr>
      <w:proofErr w:type="spellStart"/>
      <w:r w:rsidRPr="00516F1C">
        <w:rPr>
          <w:rFonts w:ascii="Times New Roman" w:hAnsi="Times New Roman" w:cs="Times New Roman"/>
          <w:sz w:val="24"/>
          <w:szCs w:val="24"/>
        </w:rPr>
        <w:t>Andreouli</w:t>
      </w:r>
      <w:proofErr w:type="spellEnd"/>
      <w:r w:rsidRPr="00516F1C">
        <w:rPr>
          <w:rFonts w:ascii="Times New Roman" w:hAnsi="Times New Roman" w:cs="Times New Roman"/>
          <w:sz w:val="24"/>
          <w:szCs w:val="24"/>
        </w:rPr>
        <w:t xml:space="preserve">, E., Kaposi, D., &amp; </w:t>
      </w:r>
      <w:proofErr w:type="spellStart"/>
      <w:r w:rsidRPr="00516F1C">
        <w:rPr>
          <w:rFonts w:ascii="Times New Roman" w:hAnsi="Times New Roman" w:cs="Times New Roman"/>
          <w:sz w:val="24"/>
          <w:szCs w:val="24"/>
        </w:rPr>
        <w:t>Stenner</w:t>
      </w:r>
      <w:proofErr w:type="spellEnd"/>
      <w:r w:rsidRPr="00516F1C">
        <w:rPr>
          <w:rFonts w:ascii="Times New Roman" w:hAnsi="Times New Roman" w:cs="Times New Roman"/>
          <w:sz w:val="24"/>
          <w:szCs w:val="24"/>
        </w:rPr>
        <w:t>, P. (2019). Brexit and emergent politics: In search of a social psychology. </w:t>
      </w:r>
      <w:r w:rsidRPr="00516F1C">
        <w:rPr>
          <w:rFonts w:ascii="Times New Roman" w:hAnsi="Times New Roman" w:cs="Times New Roman"/>
          <w:i/>
          <w:iCs/>
          <w:sz w:val="24"/>
          <w:szCs w:val="24"/>
        </w:rPr>
        <w:t>Journal of Community &amp; Applied Social Psychology</w:t>
      </w:r>
      <w:r w:rsidRPr="00516F1C">
        <w:rPr>
          <w:rFonts w:ascii="Times New Roman" w:hAnsi="Times New Roman" w:cs="Times New Roman"/>
          <w:sz w:val="24"/>
          <w:szCs w:val="24"/>
        </w:rPr>
        <w:t>, </w:t>
      </w:r>
      <w:r w:rsidRPr="00516F1C">
        <w:rPr>
          <w:rFonts w:ascii="Times New Roman" w:hAnsi="Times New Roman" w:cs="Times New Roman"/>
          <w:i/>
          <w:iCs/>
          <w:sz w:val="24"/>
          <w:szCs w:val="24"/>
        </w:rPr>
        <w:t>29</w:t>
      </w:r>
      <w:r w:rsidRPr="00516F1C">
        <w:rPr>
          <w:rFonts w:ascii="Times New Roman" w:hAnsi="Times New Roman" w:cs="Times New Roman"/>
          <w:sz w:val="24"/>
          <w:szCs w:val="24"/>
        </w:rPr>
        <w:t>(1), 6-17.</w:t>
      </w:r>
      <w:r w:rsidRPr="00516F1C">
        <w:t xml:space="preserve"> </w:t>
      </w:r>
      <w:hyperlink r:id="rId8" w:history="1">
        <w:r w:rsidRPr="00342EC9">
          <w:rPr>
            <w:rStyle w:val="Hyperlink"/>
            <w:rFonts w:ascii="Times New Roman" w:hAnsi="Times New Roman" w:cs="Times New Roman"/>
            <w:sz w:val="24"/>
            <w:szCs w:val="24"/>
          </w:rPr>
          <w:t>https://doi.org/10.1002/casp.2375</w:t>
        </w:r>
      </w:hyperlink>
      <w:r>
        <w:rPr>
          <w:rFonts w:ascii="Times New Roman" w:hAnsi="Times New Roman" w:cs="Times New Roman"/>
          <w:sz w:val="24"/>
          <w:szCs w:val="24"/>
        </w:rPr>
        <w:t xml:space="preserve"> </w:t>
      </w:r>
    </w:p>
    <w:p w:rsidR="00516F1C" w:rsidRDefault="00516F1C" w:rsidP="00516F1C">
      <w:pPr>
        <w:spacing w:line="480" w:lineRule="auto"/>
        <w:ind w:left="720" w:hanging="720"/>
        <w:rPr>
          <w:rFonts w:ascii="Times New Roman" w:hAnsi="Times New Roman" w:cs="Times New Roman"/>
          <w:sz w:val="24"/>
          <w:szCs w:val="24"/>
        </w:rPr>
      </w:pPr>
      <w:proofErr w:type="spellStart"/>
      <w:r w:rsidRPr="00516F1C">
        <w:rPr>
          <w:rFonts w:ascii="Times New Roman" w:hAnsi="Times New Roman" w:cs="Times New Roman"/>
          <w:sz w:val="24"/>
          <w:szCs w:val="24"/>
        </w:rPr>
        <w:t>Kalaitzake</w:t>
      </w:r>
      <w:proofErr w:type="spellEnd"/>
      <w:r w:rsidRPr="00516F1C">
        <w:rPr>
          <w:rFonts w:ascii="Times New Roman" w:hAnsi="Times New Roman" w:cs="Times New Roman"/>
          <w:sz w:val="24"/>
          <w:szCs w:val="24"/>
        </w:rPr>
        <w:t>, M. (2021). Brexit for finance? Structural interdependence as a source of financial political power within UK-EU withdrawal negotiations. </w:t>
      </w:r>
      <w:r w:rsidRPr="00516F1C">
        <w:rPr>
          <w:rFonts w:ascii="Times New Roman" w:hAnsi="Times New Roman" w:cs="Times New Roman"/>
          <w:i/>
          <w:iCs/>
          <w:sz w:val="24"/>
          <w:szCs w:val="24"/>
        </w:rPr>
        <w:t>Review of International Political Economy</w:t>
      </w:r>
      <w:r w:rsidRPr="00516F1C">
        <w:rPr>
          <w:rFonts w:ascii="Times New Roman" w:hAnsi="Times New Roman" w:cs="Times New Roman"/>
          <w:sz w:val="24"/>
          <w:szCs w:val="24"/>
        </w:rPr>
        <w:t>, </w:t>
      </w:r>
      <w:r w:rsidRPr="00516F1C">
        <w:rPr>
          <w:rFonts w:ascii="Times New Roman" w:hAnsi="Times New Roman" w:cs="Times New Roman"/>
          <w:i/>
          <w:iCs/>
          <w:sz w:val="24"/>
          <w:szCs w:val="24"/>
        </w:rPr>
        <w:t>28</w:t>
      </w:r>
      <w:r w:rsidRPr="00516F1C">
        <w:rPr>
          <w:rFonts w:ascii="Times New Roman" w:hAnsi="Times New Roman" w:cs="Times New Roman"/>
          <w:sz w:val="24"/>
          <w:szCs w:val="24"/>
        </w:rPr>
        <w:t>(3), 479-504.</w:t>
      </w:r>
      <w:r w:rsidRPr="00516F1C">
        <w:t xml:space="preserve"> </w:t>
      </w:r>
      <w:hyperlink r:id="rId9" w:history="1">
        <w:r w:rsidRPr="00342EC9">
          <w:rPr>
            <w:rStyle w:val="Hyperlink"/>
            <w:rFonts w:ascii="Times New Roman" w:hAnsi="Times New Roman" w:cs="Times New Roman"/>
            <w:sz w:val="24"/>
            <w:szCs w:val="24"/>
          </w:rPr>
          <w:t>https://doi.org/10.1080/09692290.2020.1734856</w:t>
        </w:r>
      </w:hyperlink>
      <w:r>
        <w:rPr>
          <w:rFonts w:ascii="Times New Roman" w:hAnsi="Times New Roman" w:cs="Times New Roman"/>
          <w:sz w:val="24"/>
          <w:szCs w:val="24"/>
        </w:rPr>
        <w:t xml:space="preserve"> </w:t>
      </w:r>
    </w:p>
    <w:p w:rsidR="00516F1C" w:rsidRDefault="00516F1C" w:rsidP="00516F1C">
      <w:pPr>
        <w:spacing w:line="480" w:lineRule="auto"/>
        <w:ind w:left="720" w:hanging="720"/>
        <w:rPr>
          <w:rFonts w:ascii="Times New Roman" w:hAnsi="Times New Roman" w:cs="Times New Roman"/>
          <w:sz w:val="24"/>
          <w:szCs w:val="24"/>
        </w:rPr>
      </w:pPr>
      <w:proofErr w:type="spellStart"/>
      <w:r w:rsidRPr="00516F1C">
        <w:rPr>
          <w:rFonts w:ascii="Times New Roman" w:hAnsi="Times New Roman" w:cs="Times New Roman"/>
          <w:sz w:val="24"/>
          <w:szCs w:val="24"/>
        </w:rPr>
        <w:t>Tetlow</w:t>
      </w:r>
      <w:proofErr w:type="spellEnd"/>
      <w:r w:rsidRPr="00516F1C">
        <w:rPr>
          <w:rFonts w:ascii="Times New Roman" w:hAnsi="Times New Roman" w:cs="Times New Roman"/>
          <w:sz w:val="24"/>
          <w:szCs w:val="24"/>
        </w:rPr>
        <w:t xml:space="preserve">, G., &amp; </w:t>
      </w:r>
      <w:proofErr w:type="spellStart"/>
      <w:r w:rsidRPr="00516F1C">
        <w:rPr>
          <w:rFonts w:ascii="Times New Roman" w:hAnsi="Times New Roman" w:cs="Times New Roman"/>
          <w:sz w:val="24"/>
          <w:szCs w:val="24"/>
        </w:rPr>
        <w:t>Stojanovic</w:t>
      </w:r>
      <w:proofErr w:type="spellEnd"/>
      <w:r w:rsidRPr="00516F1C">
        <w:rPr>
          <w:rFonts w:ascii="Times New Roman" w:hAnsi="Times New Roman" w:cs="Times New Roman"/>
          <w:sz w:val="24"/>
          <w:szCs w:val="24"/>
        </w:rPr>
        <w:t>, A. (2018). Understanding the economic impact of Brexit. </w:t>
      </w:r>
      <w:r w:rsidRPr="00516F1C">
        <w:rPr>
          <w:rFonts w:ascii="Times New Roman" w:hAnsi="Times New Roman" w:cs="Times New Roman"/>
          <w:i/>
          <w:iCs/>
          <w:sz w:val="24"/>
          <w:szCs w:val="24"/>
        </w:rPr>
        <w:t>Institute for government</w:t>
      </w:r>
      <w:r w:rsidRPr="00516F1C">
        <w:rPr>
          <w:rFonts w:ascii="Times New Roman" w:hAnsi="Times New Roman" w:cs="Times New Roman"/>
          <w:sz w:val="24"/>
          <w:szCs w:val="24"/>
        </w:rPr>
        <w:t>, 2-76.</w:t>
      </w:r>
      <w:r w:rsidR="00AF03B3" w:rsidRPr="00AF03B3">
        <w:t xml:space="preserve"> </w:t>
      </w:r>
      <w:r w:rsidR="00AF03B3" w:rsidRPr="00AF03B3">
        <w:rPr>
          <w:rFonts w:ascii="Times New Roman" w:hAnsi="Times New Roman" w:cs="Times New Roman"/>
          <w:sz w:val="24"/>
          <w:szCs w:val="24"/>
        </w:rPr>
        <w:t>https://www.instituteforgovernment.org.uk/sites/default/files/publications/2018%20IfG%20%20Brexit%20impact%20[final%20for%20web].pdf</w:t>
      </w:r>
    </w:p>
    <w:p w:rsidR="00516F1C" w:rsidRPr="00052E77" w:rsidRDefault="00516F1C" w:rsidP="00516F1C">
      <w:pPr>
        <w:spacing w:line="480" w:lineRule="auto"/>
        <w:ind w:left="720" w:hanging="720"/>
        <w:rPr>
          <w:rFonts w:ascii="Times New Roman" w:hAnsi="Times New Roman" w:cs="Times New Roman"/>
          <w:sz w:val="24"/>
          <w:szCs w:val="24"/>
        </w:rPr>
      </w:pPr>
      <w:proofErr w:type="spellStart"/>
      <w:r w:rsidRPr="00516F1C">
        <w:rPr>
          <w:rFonts w:ascii="Times New Roman" w:hAnsi="Times New Roman" w:cs="Times New Roman"/>
          <w:sz w:val="24"/>
          <w:szCs w:val="24"/>
        </w:rPr>
        <w:t>Zappettini</w:t>
      </w:r>
      <w:proofErr w:type="spellEnd"/>
      <w:r w:rsidRPr="00516F1C">
        <w:rPr>
          <w:rFonts w:ascii="Times New Roman" w:hAnsi="Times New Roman" w:cs="Times New Roman"/>
          <w:sz w:val="24"/>
          <w:szCs w:val="24"/>
        </w:rPr>
        <w:t>, F. (2019). </w:t>
      </w:r>
      <w:r w:rsidRPr="00AF03B3">
        <w:rPr>
          <w:rFonts w:ascii="Times New Roman" w:hAnsi="Times New Roman" w:cs="Times New Roman"/>
          <w:iCs/>
          <w:sz w:val="24"/>
          <w:szCs w:val="24"/>
        </w:rPr>
        <w:t xml:space="preserve">The Brexit referendum: how trade and immigration in the discourses of the official campaigns have </w:t>
      </w:r>
      <w:proofErr w:type="spellStart"/>
      <w:r w:rsidRPr="00AF03B3">
        <w:rPr>
          <w:rFonts w:ascii="Times New Roman" w:hAnsi="Times New Roman" w:cs="Times New Roman"/>
          <w:iCs/>
          <w:sz w:val="24"/>
          <w:szCs w:val="24"/>
        </w:rPr>
        <w:t>legitimised</w:t>
      </w:r>
      <w:proofErr w:type="spellEnd"/>
      <w:r w:rsidRPr="00AF03B3">
        <w:rPr>
          <w:rFonts w:ascii="Times New Roman" w:hAnsi="Times New Roman" w:cs="Times New Roman"/>
          <w:iCs/>
          <w:sz w:val="24"/>
          <w:szCs w:val="24"/>
        </w:rPr>
        <w:t xml:space="preserve"> a toxic (inter)national logic.</w:t>
      </w:r>
      <w:r w:rsidRPr="00516F1C">
        <w:rPr>
          <w:rFonts w:ascii="Times New Roman" w:hAnsi="Times New Roman" w:cs="Times New Roman"/>
          <w:i/>
          <w:iCs/>
          <w:sz w:val="24"/>
          <w:szCs w:val="24"/>
        </w:rPr>
        <w:t xml:space="preserve"> Critical Discourse Studies, 1–17.</w:t>
      </w:r>
      <w:r w:rsidRPr="00516F1C">
        <w:t xml:space="preserve"> </w:t>
      </w:r>
      <w:r w:rsidRPr="00516F1C">
        <w:rPr>
          <w:rFonts w:ascii="Times New Roman" w:hAnsi="Times New Roman" w:cs="Times New Roman"/>
          <w:iCs/>
          <w:sz w:val="24"/>
          <w:szCs w:val="24"/>
        </w:rPr>
        <w:t>https://doi.org/10.1080/17405904.2019.1593206</w:t>
      </w:r>
    </w:p>
    <w:p w:rsidR="00AE70BB" w:rsidRDefault="00AE70BB" w:rsidP="000B1B36">
      <w:pPr>
        <w:spacing w:line="480" w:lineRule="auto"/>
        <w:ind w:firstLine="720"/>
        <w:rPr>
          <w:rFonts w:ascii="Times New Roman" w:hAnsi="Times New Roman" w:cs="Times New Roman"/>
          <w:sz w:val="24"/>
          <w:szCs w:val="24"/>
        </w:rPr>
      </w:pPr>
      <w:bookmarkStart w:id="0" w:name="_GoBack"/>
      <w:bookmarkEnd w:id="0"/>
    </w:p>
    <w:p w:rsidR="00FA33F8" w:rsidRDefault="00FA33F8" w:rsidP="000B1B36">
      <w:pPr>
        <w:spacing w:line="480" w:lineRule="auto"/>
        <w:ind w:firstLine="720"/>
        <w:rPr>
          <w:rFonts w:ascii="Times New Roman" w:hAnsi="Times New Roman" w:cs="Times New Roman"/>
          <w:sz w:val="24"/>
          <w:szCs w:val="24"/>
        </w:rPr>
      </w:pPr>
    </w:p>
    <w:p w:rsidR="00FA33F8" w:rsidRDefault="00FA33F8" w:rsidP="000B1B36">
      <w:pPr>
        <w:spacing w:line="480" w:lineRule="auto"/>
        <w:ind w:firstLine="720"/>
        <w:rPr>
          <w:rFonts w:ascii="Times New Roman" w:hAnsi="Times New Roman" w:cs="Times New Roman"/>
          <w:sz w:val="24"/>
          <w:szCs w:val="24"/>
        </w:rPr>
      </w:pPr>
    </w:p>
    <w:p w:rsidR="000B1B36" w:rsidRDefault="000B1B36" w:rsidP="00032958">
      <w:pPr>
        <w:spacing w:line="480" w:lineRule="auto"/>
        <w:rPr>
          <w:rFonts w:ascii="Times New Roman" w:hAnsi="Times New Roman" w:cs="Times New Roman"/>
          <w:sz w:val="24"/>
          <w:szCs w:val="24"/>
        </w:rPr>
      </w:pPr>
    </w:p>
    <w:p w:rsidR="00B8297F" w:rsidRDefault="00B8297F" w:rsidP="00032958">
      <w:pPr>
        <w:spacing w:line="480" w:lineRule="auto"/>
        <w:rPr>
          <w:rFonts w:ascii="Times New Roman" w:hAnsi="Times New Roman" w:cs="Times New Roman"/>
          <w:sz w:val="24"/>
          <w:szCs w:val="24"/>
        </w:rPr>
      </w:pPr>
      <w:r>
        <w:rPr>
          <w:rFonts w:ascii="Times New Roman" w:hAnsi="Times New Roman" w:cs="Times New Roman"/>
          <w:sz w:val="24"/>
          <w:szCs w:val="24"/>
        </w:rPr>
        <w:tab/>
      </w:r>
    </w:p>
    <w:p w:rsidR="00247D63" w:rsidRPr="00032958" w:rsidRDefault="00247D63" w:rsidP="00032958">
      <w:pPr>
        <w:spacing w:line="480" w:lineRule="auto"/>
        <w:rPr>
          <w:rFonts w:ascii="Times New Roman" w:hAnsi="Times New Roman" w:cs="Times New Roman"/>
          <w:sz w:val="24"/>
          <w:szCs w:val="24"/>
        </w:rPr>
      </w:pPr>
    </w:p>
    <w:sectPr w:rsidR="00247D63" w:rsidRPr="00032958" w:rsidSect="005B2577">
      <w:headerReference w:type="default" r:id="rId10"/>
      <w:head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906" w:rsidRDefault="003A1906" w:rsidP="005B2577">
      <w:pPr>
        <w:spacing w:after="0" w:line="240" w:lineRule="auto"/>
      </w:pPr>
      <w:r>
        <w:separator/>
      </w:r>
    </w:p>
  </w:endnote>
  <w:endnote w:type="continuationSeparator" w:id="0">
    <w:p w:rsidR="003A1906" w:rsidRDefault="003A1906" w:rsidP="005B2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906" w:rsidRDefault="003A1906" w:rsidP="005B2577">
      <w:pPr>
        <w:spacing w:after="0" w:line="240" w:lineRule="auto"/>
      </w:pPr>
      <w:r>
        <w:separator/>
      </w:r>
    </w:p>
  </w:footnote>
  <w:footnote w:type="continuationSeparator" w:id="0">
    <w:p w:rsidR="003A1906" w:rsidRDefault="003A1906" w:rsidP="005B25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6CF" w:rsidRPr="00E366CF" w:rsidRDefault="00E366CF">
    <w:pPr>
      <w:pStyle w:val="Header"/>
      <w:jc w:val="right"/>
      <w:rPr>
        <w:rFonts w:ascii="Times New Roman" w:hAnsi="Times New Roman" w:cs="Times New Roman"/>
        <w:sz w:val="24"/>
        <w:szCs w:val="24"/>
      </w:rPr>
    </w:pPr>
    <w:r w:rsidRPr="00E366CF">
      <w:rPr>
        <w:rFonts w:ascii="Times New Roman" w:hAnsi="Times New Roman" w:cs="Times New Roman"/>
        <w:sz w:val="24"/>
        <w:szCs w:val="24"/>
      </w:rPr>
      <w:tab/>
    </w:r>
    <w:r w:rsidRPr="00E366CF">
      <w:rPr>
        <w:rFonts w:ascii="Times New Roman" w:hAnsi="Times New Roman" w:cs="Times New Roman"/>
        <w:sz w:val="24"/>
        <w:szCs w:val="24"/>
      </w:rPr>
      <w:tab/>
      <w:t xml:space="preserve"> </w:t>
    </w:r>
    <w:sdt>
      <w:sdtPr>
        <w:rPr>
          <w:rFonts w:ascii="Times New Roman" w:hAnsi="Times New Roman" w:cs="Times New Roman"/>
          <w:sz w:val="24"/>
          <w:szCs w:val="24"/>
        </w:rPr>
        <w:id w:val="-1753115990"/>
        <w:docPartObj>
          <w:docPartGallery w:val="Page Numbers (Top of Page)"/>
          <w:docPartUnique/>
        </w:docPartObj>
      </w:sdtPr>
      <w:sdtEndPr>
        <w:rPr>
          <w:noProof/>
        </w:rPr>
      </w:sdtEndPr>
      <w:sdtContent>
        <w:r w:rsidRPr="00E366CF">
          <w:rPr>
            <w:rFonts w:ascii="Times New Roman" w:hAnsi="Times New Roman" w:cs="Times New Roman"/>
            <w:sz w:val="24"/>
            <w:szCs w:val="24"/>
          </w:rPr>
          <w:fldChar w:fldCharType="begin"/>
        </w:r>
        <w:r w:rsidRPr="00E366CF">
          <w:rPr>
            <w:rFonts w:ascii="Times New Roman" w:hAnsi="Times New Roman" w:cs="Times New Roman"/>
            <w:sz w:val="24"/>
            <w:szCs w:val="24"/>
          </w:rPr>
          <w:instrText xml:space="preserve"> PAGE   \* MERGEFORMAT </w:instrText>
        </w:r>
        <w:r w:rsidRPr="00E366CF">
          <w:rPr>
            <w:rFonts w:ascii="Times New Roman" w:hAnsi="Times New Roman" w:cs="Times New Roman"/>
            <w:sz w:val="24"/>
            <w:szCs w:val="24"/>
          </w:rPr>
          <w:fldChar w:fldCharType="separate"/>
        </w:r>
        <w:r w:rsidR="00AF03B3">
          <w:rPr>
            <w:rFonts w:ascii="Times New Roman" w:hAnsi="Times New Roman" w:cs="Times New Roman"/>
            <w:noProof/>
            <w:sz w:val="24"/>
            <w:szCs w:val="24"/>
          </w:rPr>
          <w:t>7</w:t>
        </w:r>
        <w:r w:rsidRPr="00E366CF">
          <w:rPr>
            <w:rFonts w:ascii="Times New Roman" w:hAnsi="Times New Roman" w:cs="Times New Roman"/>
            <w:noProof/>
            <w:sz w:val="24"/>
            <w:szCs w:val="24"/>
          </w:rPr>
          <w:fldChar w:fldCharType="end"/>
        </w:r>
      </w:sdtContent>
    </w:sdt>
  </w:p>
  <w:p w:rsidR="00E366CF" w:rsidRPr="00E366CF" w:rsidRDefault="00E366CF">
    <w:pPr>
      <w:pStyle w:val="Head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577" w:rsidRPr="005B2577" w:rsidRDefault="005B2577" w:rsidP="00540DD1">
    <w:pPr>
      <w:pStyle w:val="Head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B2577">
      <w:rPr>
        <w:rFonts w:ascii="Times New Roman" w:hAnsi="Times New Roman" w:cs="Times New Roman"/>
        <w:sz w:val="24"/>
        <w:szCs w:val="24"/>
      </w:rPr>
      <w:t xml:space="preserve"> </w:t>
    </w:r>
    <w:sdt>
      <w:sdtPr>
        <w:rPr>
          <w:rFonts w:ascii="Times New Roman" w:hAnsi="Times New Roman" w:cs="Times New Roman"/>
          <w:sz w:val="24"/>
          <w:szCs w:val="24"/>
        </w:rPr>
        <w:id w:val="368579273"/>
        <w:docPartObj>
          <w:docPartGallery w:val="Page Numbers (Top of Page)"/>
          <w:docPartUnique/>
        </w:docPartObj>
      </w:sdtPr>
      <w:sdtEndPr>
        <w:rPr>
          <w:noProof/>
        </w:rPr>
      </w:sdtEndPr>
      <w:sdtContent>
        <w:r w:rsidRPr="005B2577">
          <w:rPr>
            <w:rFonts w:ascii="Times New Roman" w:hAnsi="Times New Roman" w:cs="Times New Roman"/>
            <w:sz w:val="24"/>
            <w:szCs w:val="24"/>
          </w:rPr>
          <w:fldChar w:fldCharType="begin"/>
        </w:r>
        <w:r w:rsidRPr="005B2577">
          <w:rPr>
            <w:rFonts w:ascii="Times New Roman" w:hAnsi="Times New Roman" w:cs="Times New Roman"/>
            <w:sz w:val="24"/>
            <w:szCs w:val="24"/>
          </w:rPr>
          <w:instrText xml:space="preserve"> PAGE   \* MERGEFORMAT </w:instrText>
        </w:r>
        <w:r w:rsidRPr="005B2577">
          <w:rPr>
            <w:rFonts w:ascii="Times New Roman" w:hAnsi="Times New Roman" w:cs="Times New Roman"/>
            <w:sz w:val="24"/>
            <w:szCs w:val="24"/>
          </w:rPr>
          <w:fldChar w:fldCharType="separate"/>
        </w:r>
        <w:r w:rsidR="00AF03B3">
          <w:rPr>
            <w:rFonts w:ascii="Times New Roman" w:hAnsi="Times New Roman" w:cs="Times New Roman"/>
            <w:noProof/>
            <w:sz w:val="24"/>
            <w:szCs w:val="24"/>
          </w:rPr>
          <w:t>1</w:t>
        </w:r>
        <w:r w:rsidRPr="005B2577">
          <w:rPr>
            <w:rFonts w:ascii="Times New Roman" w:hAnsi="Times New Roman" w:cs="Times New Roman"/>
            <w:noProof/>
            <w:sz w:val="24"/>
            <w:szCs w:val="24"/>
          </w:rPr>
          <w:fldChar w:fldCharType="end"/>
        </w:r>
      </w:sdtContent>
    </w:sdt>
  </w:p>
  <w:p w:rsidR="005B2577" w:rsidRDefault="005B25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0tjQwMjexAGJDYyUdpeDU4uLM/DyQAqNaAPHNpiYsAAAA"/>
  </w:docVars>
  <w:rsids>
    <w:rsidRoot w:val="005B2577"/>
    <w:rsid w:val="00013544"/>
    <w:rsid w:val="00032958"/>
    <w:rsid w:val="00052E77"/>
    <w:rsid w:val="000B1B36"/>
    <w:rsid w:val="000E276B"/>
    <w:rsid w:val="00133C45"/>
    <w:rsid w:val="001369CC"/>
    <w:rsid w:val="001620A4"/>
    <w:rsid w:val="001659A3"/>
    <w:rsid w:val="00194C34"/>
    <w:rsid w:val="001D0324"/>
    <w:rsid w:val="001F7147"/>
    <w:rsid w:val="00202285"/>
    <w:rsid w:val="00226570"/>
    <w:rsid w:val="00235B54"/>
    <w:rsid w:val="00242B60"/>
    <w:rsid w:val="00247D63"/>
    <w:rsid w:val="00260DF8"/>
    <w:rsid w:val="00264122"/>
    <w:rsid w:val="00277FB0"/>
    <w:rsid w:val="002A692F"/>
    <w:rsid w:val="002D6A7A"/>
    <w:rsid w:val="003038D3"/>
    <w:rsid w:val="00386C84"/>
    <w:rsid w:val="003871F1"/>
    <w:rsid w:val="003947DC"/>
    <w:rsid w:val="003A1906"/>
    <w:rsid w:val="003B11E4"/>
    <w:rsid w:val="003C26CB"/>
    <w:rsid w:val="003D68BF"/>
    <w:rsid w:val="00453012"/>
    <w:rsid w:val="004870F0"/>
    <w:rsid w:val="004A27DA"/>
    <w:rsid w:val="004B3AA5"/>
    <w:rsid w:val="004E0EBC"/>
    <w:rsid w:val="00516F1C"/>
    <w:rsid w:val="00540DD1"/>
    <w:rsid w:val="00587D7B"/>
    <w:rsid w:val="005A71C7"/>
    <w:rsid w:val="005B2577"/>
    <w:rsid w:val="00680485"/>
    <w:rsid w:val="00735613"/>
    <w:rsid w:val="007E236D"/>
    <w:rsid w:val="00844F80"/>
    <w:rsid w:val="008A557B"/>
    <w:rsid w:val="008C5E7F"/>
    <w:rsid w:val="008F437B"/>
    <w:rsid w:val="00910F54"/>
    <w:rsid w:val="00A27E1C"/>
    <w:rsid w:val="00A56799"/>
    <w:rsid w:val="00A56C1B"/>
    <w:rsid w:val="00A80016"/>
    <w:rsid w:val="00AE70BB"/>
    <w:rsid w:val="00AF03B3"/>
    <w:rsid w:val="00AF6A68"/>
    <w:rsid w:val="00B50CF1"/>
    <w:rsid w:val="00B52C28"/>
    <w:rsid w:val="00B5491C"/>
    <w:rsid w:val="00B8297F"/>
    <w:rsid w:val="00BD3E21"/>
    <w:rsid w:val="00BF7EC6"/>
    <w:rsid w:val="00C4064A"/>
    <w:rsid w:val="00C666CC"/>
    <w:rsid w:val="00CE1631"/>
    <w:rsid w:val="00CE3A2A"/>
    <w:rsid w:val="00D41146"/>
    <w:rsid w:val="00E366CF"/>
    <w:rsid w:val="00E46E6D"/>
    <w:rsid w:val="00E51ECC"/>
    <w:rsid w:val="00E605E6"/>
    <w:rsid w:val="00E61CCB"/>
    <w:rsid w:val="00EB5D68"/>
    <w:rsid w:val="00F10E3E"/>
    <w:rsid w:val="00F13988"/>
    <w:rsid w:val="00F66DC0"/>
    <w:rsid w:val="00F86BBB"/>
    <w:rsid w:val="00FA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BACC5D-D26C-4F80-9B02-0B64C284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52C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577"/>
  </w:style>
  <w:style w:type="paragraph" w:styleId="Footer">
    <w:name w:val="footer"/>
    <w:basedOn w:val="Normal"/>
    <w:link w:val="FooterChar"/>
    <w:uiPriority w:val="99"/>
    <w:unhideWhenUsed/>
    <w:rsid w:val="005B2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577"/>
  </w:style>
  <w:style w:type="character" w:customStyle="1" w:styleId="Heading1Char">
    <w:name w:val="Heading 1 Char"/>
    <w:basedOn w:val="DefaultParagraphFont"/>
    <w:link w:val="Heading1"/>
    <w:uiPriority w:val="9"/>
    <w:rsid w:val="00B52C28"/>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3B11E4"/>
  </w:style>
  <w:style w:type="character" w:styleId="Hyperlink">
    <w:name w:val="Hyperlink"/>
    <w:basedOn w:val="DefaultParagraphFont"/>
    <w:uiPriority w:val="99"/>
    <w:unhideWhenUsed/>
    <w:rsid w:val="00844F80"/>
    <w:rPr>
      <w:color w:val="0563C1" w:themeColor="hyperlink"/>
      <w:u w:val="single"/>
    </w:rPr>
  </w:style>
  <w:style w:type="character" w:styleId="FollowedHyperlink">
    <w:name w:val="FollowedHyperlink"/>
    <w:basedOn w:val="DefaultParagraphFont"/>
    <w:uiPriority w:val="99"/>
    <w:semiHidden/>
    <w:unhideWhenUsed/>
    <w:rsid w:val="00844F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23454">
      <w:bodyDiv w:val="1"/>
      <w:marLeft w:val="0"/>
      <w:marRight w:val="0"/>
      <w:marTop w:val="0"/>
      <w:marBottom w:val="0"/>
      <w:divBdr>
        <w:top w:val="none" w:sz="0" w:space="0" w:color="auto"/>
        <w:left w:val="none" w:sz="0" w:space="0" w:color="auto"/>
        <w:bottom w:val="none" w:sz="0" w:space="0" w:color="auto"/>
        <w:right w:val="none" w:sz="0" w:space="0" w:color="auto"/>
      </w:divBdr>
    </w:div>
    <w:div w:id="213276098">
      <w:bodyDiv w:val="1"/>
      <w:marLeft w:val="0"/>
      <w:marRight w:val="0"/>
      <w:marTop w:val="0"/>
      <w:marBottom w:val="0"/>
      <w:divBdr>
        <w:top w:val="none" w:sz="0" w:space="0" w:color="auto"/>
        <w:left w:val="none" w:sz="0" w:space="0" w:color="auto"/>
        <w:bottom w:val="none" w:sz="0" w:space="0" w:color="auto"/>
        <w:right w:val="none" w:sz="0" w:space="0" w:color="auto"/>
      </w:divBdr>
    </w:div>
    <w:div w:id="357973383">
      <w:bodyDiv w:val="1"/>
      <w:marLeft w:val="0"/>
      <w:marRight w:val="0"/>
      <w:marTop w:val="0"/>
      <w:marBottom w:val="0"/>
      <w:divBdr>
        <w:top w:val="none" w:sz="0" w:space="0" w:color="auto"/>
        <w:left w:val="none" w:sz="0" w:space="0" w:color="auto"/>
        <w:bottom w:val="none" w:sz="0" w:space="0" w:color="auto"/>
        <w:right w:val="none" w:sz="0" w:space="0" w:color="auto"/>
      </w:divBdr>
    </w:div>
    <w:div w:id="746458313">
      <w:bodyDiv w:val="1"/>
      <w:marLeft w:val="0"/>
      <w:marRight w:val="0"/>
      <w:marTop w:val="0"/>
      <w:marBottom w:val="0"/>
      <w:divBdr>
        <w:top w:val="none" w:sz="0" w:space="0" w:color="auto"/>
        <w:left w:val="none" w:sz="0" w:space="0" w:color="auto"/>
        <w:bottom w:val="none" w:sz="0" w:space="0" w:color="auto"/>
        <w:right w:val="none" w:sz="0" w:space="0" w:color="auto"/>
      </w:divBdr>
    </w:div>
    <w:div w:id="903949695">
      <w:bodyDiv w:val="1"/>
      <w:marLeft w:val="0"/>
      <w:marRight w:val="0"/>
      <w:marTop w:val="0"/>
      <w:marBottom w:val="0"/>
      <w:divBdr>
        <w:top w:val="none" w:sz="0" w:space="0" w:color="auto"/>
        <w:left w:val="none" w:sz="0" w:space="0" w:color="auto"/>
        <w:bottom w:val="none" w:sz="0" w:space="0" w:color="auto"/>
        <w:right w:val="none" w:sz="0" w:space="0" w:color="auto"/>
      </w:divBdr>
    </w:div>
    <w:div w:id="1219315282">
      <w:bodyDiv w:val="1"/>
      <w:marLeft w:val="0"/>
      <w:marRight w:val="0"/>
      <w:marTop w:val="0"/>
      <w:marBottom w:val="0"/>
      <w:divBdr>
        <w:top w:val="none" w:sz="0" w:space="0" w:color="auto"/>
        <w:left w:val="none" w:sz="0" w:space="0" w:color="auto"/>
        <w:bottom w:val="none" w:sz="0" w:space="0" w:color="auto"/>
        <w:right w:val="none" w:sz="0" w:space="0" w:color="auto"/>
      </w:divBdr>
    </w:div>
    <w:div w:id="1234849440">
      <w:bodyDiv w:val="1"/>
      <w:marLeft w:val="0"/>
      <w:marRight w:val="0"/>
      <w:marTop w:val="0"/>
      <w:marBottom w:val="0"/>
      <w:divBdr>
        <w:top w:val="none" w:sz="0" w:space="0" w:color="auto"/>
        <w:left w:val="none" w:sz="0" w:space="0" w:color="auto"/>
        <w:bottom w:val="none" w:sz="0" w:space="0" w:color="auto"/>
        <w:right w:val="none" w:sz="0" w:space="0" w:color="auto"/>
      </w:divBdr>
    </w:div>
    <w:div w:id="1288125404">
      <w:bodyDiv w:val="1"/>
      <w:marLeft w:val="0"/>
      <w:marRight w:val="0"/>
      <w:marTop w:val="0"/>
      <w:marBottom w:val="0"/>
      <w:divBdr>
        <w:top w:val="none" w:sz="0" w:space="0" w:color="auto"/>
        <w:left w:val="none" w:sz="0" w:space="0" w:color="auto"/>
        <w:bottom w:val="none" w:sz="0" w:space="0" w:color="auto"/>
        <w:right w:val="none" w:sz="0" w:space="0" w:color="auto"/>
      </w:divBdr>
    </w:div>
    <w:div w:id="1588417563">
      <w:bodyDiv w:val="1"/>
      <w:marLeft w:val="0"/>
      <w:marRight w:val="0"/>
      <w:marTop w:val="0"/>
      <w:marBottom w:val="0"/>
      <w:divBdr>
        <w:top w:val="none" w:sz="0" w:space="0" w:color="auto"/>
        <w:left w:val="none" w:sz="0" w:space="0" w:color="auto"/>
        <w:bottom w:val="none" w:sz="0" w:space="0" w:color="auto"/>
        <w:right w:val="none" w:sz="0" w:space="0" w:color="auto"/>
      </w:divBdr>
    </w:div>
    <w:div w:id="1596984208">
      <w:bodyDiv w:val="1"/>
      <w:marLeft w:val="0"/>
      <w:marRight w:val="0"/>
      <w:marTop w:val="0"/>
      <w:marBottom w:val="0"/>
      <w:divBdr>
        <w:top w:val="none" w:sz="0" w:space="0" w:color="auto"/>
        <w:left w:val="none" w:sz="0" w:space="0" w:color="auto"/>
        <w:bottom w:val="none" w:sz="0" w:space="0" w:color="auto"/>
        <w:right w:val="none" w:sz="0" w:space="0" w:color="auto"/>
      </w:divBdr>
    </w:div>
    <w:div w:id="1655909724">
      <w:bodyDiv w:val="1"/>
      <w:marLeft w:val="0"/>
      <w:marRight w:val="0"/>
      <w:marTop w:val="0"/>
      <w:marBottom w:val="0"/>
      <w:divBdr>
        <w:top w:val="none" w:sz="0" w:space="0" w:color="auto"/>
        <w:left w:val="none" w:sz="0" w:space="0" w:color="auto"/>
        <w:bottom w:val="none" w:sz="0" w:space="0" w:color="auto"/>
        <w:right w:val="none" w:sz="0" w:space="0" w:color="auto"/>
      </w:divBdr>
    </w:div>
    <w:div w:id="2017920772">
      <w:bodyDiv w:val="1"/>
      <w:marLeft w:val="0"/>
      <w:marRight w:val="0"/>
      <w:marTop w:val="0"/>
      <w:marBottom w:val="0"/>
      <w:divBdr>
        <w:top w:val="none" w:sz="0" w:space="0" w:color="auto"/>
        <w:left w:val="none" w:sz="0" w:space="0" w:color="auto"/>
        <w:bottom w:val="none" w:sz="0" w:space="0" w:color="auto"/>
        <w:right w:val="none" w:sz="0" w:space="0" w:color="auto"/>
      </w:divBdr>
    </w:div>
    <w:div w:id="214253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casp.237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1054643/benefits-of-brexit.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80/09692290.2020.17348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{4CEB6D34-42D5-4160-8145-4629A319B946}</b:Guid>
    <b:RefOrder>1</b:RefOrder>
  </b:Source>
  <b:Source>
    <b:Tag>Bha13</b:Tag>
    <b:SourceType>JournalArticle</b:SourceType>
    <b:Guid>{AE716B4A-91A5-49F5-82AC-93A3CA284F94}</b:Guid>
    <b:Author>
      <b:Author>
        <b:NameList>
          <b:Person>
            <b:Last>Bharath Chakravathy</b:Last>
            <b:First>Shayam</b:First>
            <b:Middle>Shah, Shahram Loftipour</b:Middle>
          </b:Person>
        </b:NameList>
      </b:Author>
    </b:Author>
    <b:Title>Adolesence drug abuse</b:Title>
    <b:JournalName>Indian Journal of Medicinal Research</b:JournalName>
    <b:Year>2013</b:Year>
    <b:Pages>1021-1023</b:Pages>
    <b:RefOrder>2</b:RefOrder>
  </b:Source>
  <b:Source>
    <b:Tag>Mic14</b:Tag>
    <b:SourceType>JournalArticle</b:SourceType>
    <b:Guid>{6902FA98-A3C2-4ABC-97A1-B8FF5128C55B}</b:Guid>
    <b:Author>
      <b:Author>
        <b:NameList>
          <b:Person>
            <b:Last>Michael Fox</b:Last>
            <b:First>Patrick</b:First>
            <b:Middle>Kanary , Richard Shepler</b:Middle>
          </b:Person>
        </b:NameList>
      </b:Author>
    </b:Author>
    <b:Title>Sceening and assessment for substance use,mental health and co-occurring disorders in adolescents</b:Title>
    <b:JournalName>The Technical Assistance Network</b:JournalName>
    <b:Year>2014</b:Year>
    <b:Pages>2-3</b:Pages>
    <b:RefOrder>3</b:RefOrder>
  </b:Source>
  <b:Source>
    <b:Tag>Placeholder2</b:Tag>
    <b:SourceType>JournalArticle</b:SourceType>
    <b:Guid>{03309898-C42A-48CE-B965-F59A753F2974}</b:Guid>
    <b:RefOrder>4</b:RefOrder>
  </b:Source>
</b:Sources>
</file>

<file path=customXml/itemProps1.xml><?xml version="1.0" encoding="utf-8"?>
<ds:datastoreItem xmlns:ds="http://schemas.openxmlformats.org/officeDocument/2006/customXml" ds:itemID="{3C554286-181C-4F7E-AB41-E52FF4C06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2022-09-16T16:32:00Z</dcterms:created>
  <dcterms:modified xsi:type="dcterms:W3CDTF">2022-09-16T16:33:00Z</dcterms:modified>
  <dc:language/>
  <cp:version/>
  <cp:contentStatus/>
  <cp:category/>
</cp:coreProperties>
</file>